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horzAnchor="page" w:tblpX="1409" w:tblpY="290"/>
        <w:tblOverlap w:val="never"/>
        <w:tblW w:w="94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1200"/>
        <w:gridCol w:w="1099"/>
        <w:gridCol w:w="5205"/>
        <w:gridCol w:w="1326"/>
      </w:tblGrid>
      <w:tr w14:paraId="076E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434" w:type="dxa"/>
            <w:gridSpan w:val="5"/>
            <w:noWrap w:val="0"/>
            <w:vAlign w:val="center"/>
          </w:tcPr>
          <w:p w14:paraId="3FF287A2">
            <w:pPr>
              <w:jc w:val="center"/>
              <w:rPr>
                <w:rFonts w:hint="eastAsia"/>
                <w:b/>
                <w:bCs/>
                <w:color w:val="auto"/>
                <w:sz w:val="32"/>
                <w:szCs w:val="32"/>
                <w:highlight w:val="none"/>
              </w:rPr>
            </w:pPr>
            <w:r>
              <w:rPr>
                <w:rFonts w:hint="eastAsia"/>
                <w:b/>
                <w:bCs/>
                <w:color w:val="auto"/>
                <w:sz w:val="32"/>
                <w:szCs w:val="32"/>
                <w:highlight w:val="none"/>
              </w:rPr>
              <w:t>评</w:t>
            </w:r>
            <w:r>
              <w:rPr>
                <w:rFonts w:hint="eastAsia"/>
                <w:b/>
                <w:bCs/>
                <w:color w:val="auto"/>
                <w:sz w:val="32"/>
                <w:szCs w:val="32"/>
                <w:highlight w:val="none"/>
                <w:lang w:val="en-US" w:eastAsia="zh-CN"/>
              </w:rPr>
              <w:t>审</w:t>
            </w:r>
            <w:r>
              <w:rPr>
                <w:rFonts w:hint="eastAsia"/>
                <w:b/>
                <w:bCs/>
                <w:color w:val="auto"/>
                <w:sz w:val="32"/>
                <w:szCs w:val="32"/>
                <w:highlight w:val="none"/>
              </w:rPr>
              <w:t>标准</w:t>
            </w:r>
          </w:p>
        </w:tc>
      </w:tr>
      <w:tr w14:paraId="4FED2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604" w:type="dxa"/>
            <w:noWrap w:val="0"/>
            <w:vAlign w:val="center"/>
          </w:tcPr>
          <w:p w14:paraId="5003B055">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1200" w:type="dxa"/>
            <w:noWrap w:val="0"/>
            <w:vAlign w:val="center"/>
          </w:tcPr>
          <w:p w14:paraId="66FCB372">
            <w:pPr>
              <w:jc w:val="center"/>
              <w:rPr>
                <w:rFonts w:hint="eastAsia" w:ascii="宋体" w:hAnsi="宋体" w:eastAsia="宋体" w:cs="宋体"/>
                <w:b/>
                <w:bCs/>
                <w:color w:val="auto"/>
                <w:sz w:val="24"/>
                <w:highlight w:val="none"/>
              </w:rPr>
            </w:pPr>
            <w:r>
              <w:rPr>
                <w:rStyle w:val="4"/>
                <w:rFonts w:hint="eastAsia" w:ascii="宋体" w:hAnsi="宋体" w:eastAsia="宋体" w:cs="宋体"/>
                <w:b/>
                <w:bCs/>
                <w:i w:val="0"/>
                <w:iCs w:val="0"/>
                <w:caps w:val="0"/>
                <w:color w:val="333333"/>
                <w:spacing w:val="0"/>
                <w:sz w:val="24"/>
                <w:szCs w:val="24"/>
                <w:shd w:val="clear" w:fill="FFFFFF"/>
              </w:rPr>
              <w:t>评审维度</w:t>
            </w:r>
          </w:p>
        </w:tc>
        <w:tc>
          <w:tcPr>
            <w:tcW w:w="1099" w:type="dxa"/>
            <w:noWrap w:val="0"/>
            <w:vAlign w:val="center"/>
          </w:tcPr>
          <w:p w14:paraId="08CD0011">
            <w:pPr>
              <w:jc w:val="center"/>
              <w:rPr>
                <w:rFonts w:hint="eastAsia" w:ascii="宋体" w:hAnsi="宋体" w:eastAsia="宋体" w:cs="宋体"/>
                <w:b/>
                <w:bCs/>
                <w:color w:val="auto"/>
                <w:sz w:val="24"/>
                <w:highlight w:val="none"/>
              </w:rPr>
            </w:pPr>
            <w:r>
              <w:rPr>
                <w:rFonts w:hint="eastAsia" w:ascii="宋体" w:hAnsi="宋体" w:eastAsia="宋体" w:cs="宋体"/>
                <w:b/>
                <w:bCs/>
                <w:strike w:val="0"/>
                <w:dstrike w:val="0"/>
                <w:color w:val="auto"/>
                <w:sz w:val="24"/>
                <w:szCs w:val="24"/>
                <w:highlight w:val="none"/>
              </w:rPr>
              <w:t>指标</w:t>
            </w:r>
          </w:p>
        </w:tc>
        <w:tc>
          <w:tcPr>
            <w:tcW w:w="5205" w:type="dxa"/>
            <w:noWrap w:val="0"/>
            <w:vAlign w:val="center"/>
          </w:tcPr>
          <w:p w14:paraId="24D6AC70">
            <w:pPr>
              <w:jc w:val="center"/>
              <w:rPr>
                <w:rFonts w:hint="eastAsia" w:ascii="宋体" w:hAnsi="宋体" w:eastAsia="宋体" w:cs="宋体"/>
                <w:b/>
                <w:bCs/>
                <w:color w:val="auto"/>
                <w:sz w:val="24"/>
                <w:highlight w:val="none"/>
                <w:lang w:val="en-US" w:eastAsia="zh-CN"/>
              </w:rPr>
            </w:pPr>
            <w:r>
              <w:rPr>
                <w:rFonts w:hint="eastAsia" w:ascii="宋体" w:hAnsi="宋体" w:eastAsia="宋体" w:cs="宋体"/>
                <w:b/>
                <w:bCs/>
                <w:strike w:val="0"/>
                <w:dstrike w:val="0"/>
                <w:color w:val="auto"/>
                <w:sz w:val="24"/>
                <w:szCs w:val="24"/>
                <w:highlight w:val="none"/>
              </w:rPr>
              <w:t>指标描述</w:t>
            </w:r>
            <w:r>
              <w:rPr>
                <w:rFonts w:hint="eastAsia" w:ascii="宋体" w:hAnsi="宋体" w:eastAsia="宋体" w:cs="宋体"/>
                <w:b/>
                <w:bCs/>
                <w:strike w:val="0"/>
                <w:dstrike w:val="0"/>
                <w:color w:val="auto"/>
                <w:sz w:val="24"/>
                <w:szCs w:val="24"/>
                <w:highlight w:val="none"/>
                <w:lang w:val="en-US" w:eastAsia="zh-CN"/>
              </w:rPr>
              <w:t xml:space="preserve"> </w:t>
            </w:r>
          </w:p>
        </w:tc>
        <w:tc>
          <w:tcPr>
            <w:tcW w:w="1326" w:type="dxa"/>
            <w:noWrap w:val="0"/>
            <w:vAlign w:val="center"/>
          </w:tcPr>
          <w:p w14:paraId="7B66EA4E">
            <w:pPr>
              <w:jc w:val="center"/>
              <w:rPr>
                <w:rFonts w:hint="eastAsia" w:ascii="宋体" w:hAnsi="宋体" w:eastAsia="宋体" w:cs="宋体"/>
                <w:b/>
                <w:bCs/>
                <w:color w:val="auto"/>
                <w:sz w:val="24"/>
                <w:highlight w:val="none"/>
              </w:rPr>
            </w:pPr>
            <w:r>
              <w:rPr>
                <w:rFonts w:hint="eastAsia" w:ascii="宋体" w:hAnsi="宋体" w:eastAsia="宋体" w:cs="宋体"/>
                <w:b/>
                <w:bCs/>
                <w:strike w:val="0"/>
                <w:dstrike w:val="0"/>
                <w:color w:val="auto"/>
                <w:sz w:val="24"/>
                <w:szCs w:val="24"/>
                <w:highlight w:val="none"/>
              </w:rPr>
              <w:t>分值范围</w:t>
            </w:r>
          </w:p>
        </w:tc>
      </w:tr>
      <w:tr w14:paraId="0AD5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604" w:type="dxa"/>
            <w:vMerge w:val="restart"/>
            <w:noWrap w:val="0"/>
            <w:vAlign w:val="center"/>
          </w:tcPr>
          <w:p w14:paraId="0E572791">
            <w:pPr>
              <w:jc w:val="center"/>
              <w:rPr>
                <w:rFonts w:hint="eastAsia" w:ascii="宋体" w:hAnsi="宋体" w:cs="宋体"/>
                <w:color w:val="auto"/>
                <w:sz w:val="21"/>
                <w:szCs w:val="21"/>
                <w:highlight w:val="none"/>
                <w:lang w:val="en-US" w:eastAsia="zh-CN"/>
              </w:rPr>
            </w:pPr>
          </w:p>
          <w:p w14:paraId="7D4EE9EA">
            <w:pPr>
              <w:jc w:val="center"/>
              <w:rPr>
                <w:rFonts w:hint="eastAsia" w:ascii="宋体" w:hAnsi="宋体" w:cs="宋体"/>
                <w:color w:val="auto"/>
                <w:sz w:val="21"/>
                <w:szCs w:val="21"/>
                <w:highlight w:val="none"/>
                <w:lang w:val="en-US" w:eastAsia="zh-CN"/>
              </w:rPr>
            </w:pPr>
          </w:p>
          <w:p w14:paraId="10114266">
            <w:pPr>
              <w:jc w:val="center"/>
              <w:rPr>
                <w:rFonts w:hint="eastAsia" w:ascii="宋体" w:hAnsi="宋体" w:cs="宋体"/>
                <w:color w:val="auto"/>
                <w:sz w:val="21"/>
                <w:szCs w:val="21"/>
                <w:highlight w:val="none"/>
                <w:lang w:val="en-US" w:eastAsia="zh-CN"/>
              </w:rPr>
            </w:pPr>
          </w:p>
          <w:p w14:paraId="5D54B2DB">
            <w:pPr>
              <w:jc w:val="center"/>
              <w:rPr>
                <w:rFonts w:hint="eastAsia" w:ascii="宋体" w:hAnsi="宋体" w:cs="宋体"/>
                <w:color w:val="auto"/>
                <w:sz w:val="21"/>
                <w:szCs w:val="21"/>
                <w:highlight w:val="none"/>
                <w:lang w:val="en-US" w:eastAsia="zh-CN"/>
              </w:rPr>
            </w:pPr>
          </w:p>
          <w:p w14:paraId="6362CDFE">
            <w:pPr>
              <w:jc w:val="center"/>
              <w:rPr>
                <w:rFonts w:hint="eastAsia" w:ascii="宋体" w:hAnsi="宋体" w:cs="宋体"/>
                <w:color w:val="auto"/>
                <w:sz w:val="21"/>
                <w:szCs w:val="21"/>
                <w:highlight w:val="none"/>
                <w:lang w:val="en-US" w:eastAsia="zh-CN"/>
              </w:rPr>
            </w:pPr>
          </w:p>
          <w:p w14:paraId="05B8E1B8">
            <w:pPr>
              <w:jc w:val="center"/>
              <w:rPr>
                <w:rFonts w:hint="eastAsia" w:ascii="宋体" w:hAnsi="宋体" w:cs="宋体"/>
                <w:color w:val="auto"/>
                <w:sz w:val="21"/>
                <w:szCs w:val="21"/>
                <w:highlight w:val="none"/>
                <w:lang w:val="en-US" w:eastAsia="zh-CN"/>
              </w:rPr>
            </w:pPr>
          </w:p>
          <w:p w14:paraId="0E7011A3">
            <w:pPr>
              <w:jc w:val="center"/>
              <w:rPr>
                <w:rFonts w:hint="eastAsia" w:ascii="宋体" w:hAnsi="宋体" w:cs="宋体"/>
                <w:color w:val="auto"/>
                <w:sz w:val="21"/>
                <w:szCs w:val="21"/>
                <w:highlight w:val="none"/>
                <w:lang w:val="en-US" w:eastAsia="zh-CN"/>
              </w:rPr>
            </w:pPr>
          </w:p>
          <w:p w14:paraId="0D48A667">
            <w:pPr>
              <w:jc w:val="center"/>
              <w:rPr>
                <w:rFonts w:hint="eastAsia" w:ascii="宋体" w:hAnsi="宋体" w:cs="宋体"/>
                <w:color w:val="auto"/>
                <w:sz w:val="21"/>
                <w:szCs w:val="21"/>
                <w:highlight w:val="none"/>
                <w:lang w:val="en-US" w:eastAsia="zh-CN"/>
              </w:rPr>
            </w:pPr>
          </w:p>
          <w:p w14:paraId="07163C67">
            <w:pPr>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p w14:paraId="3F6920FE">
            <w:pPr>
              <w:jc w:val="center"/>
              <w:rPr>
                <w:rFonts w:hint="eastAsia" w:ascii="宋体" w:hAnsi="宋体" w:cs="宋体"/>
                <w:color w:val="auto"/>
                <w:sz w:val="21"/>
                <w:szCs w:val="21"/>
                <w:highlight w:val="none"/>
                <w:lang w:val="en-US" w:eastAsia="zh-CN"/>
              </w:rPr>
            </w:pPr>
          </w:p>
          <w:p w14:paraId="390FA79D">
            <w:pPr>
              <w:jc w:val="center"/>
              <w:rPr>
                <w:rFonts w:hint="eastAsia" w:ascii="宋体" w:hAnsi="宋体" w:cs="宋体"/>
                <w:color w:val="auto"/>
                <w:sz w:val="21"/>
                <w:szCs w:val="21"/>
                <w:highlight w:val="none"/>
                <w:lang w:val="en-US" w:eastAsia="zh-CN"/>
              </w:rPr>
            </w:pPr>
          </w:p>
          <w:p w14:paraId="792D80B8">
            <w:pPr>
              <w:jc w:val="center"/>
              <w:rPr>
                <w:rFonts w:hint="eastAsia" w:ascii="宋体" w:hAnsi="宋体" w:cs="宋体"/>
                <w:color w:val="auto"/>
                <w:sz w:val="21"/>
                <w:szCs w:val="21"/>
                <w:highlight w:val="none"/>
                <w:lang w:val="en-US" w:eastAsia="zh-CN"/>
              </w:rPr>
            </w:pPr>
          </w:p>
          <w:p w14:paraId="04DC25AC">
            <w:pPr>
              <w:jc w:val="center"/>
              <w:rPr>
                <w:rFonts w:hint="eastAsia" w:ascii="宋体" w:hAnsi="宋体" w:cs="宋体"/>
                <w:color w:val="auto"/>
                <w:sz w:val="21"/>
                <w:szCs w:val="21"/>
                <w:highlight w:val="none"/>
                <w:lang w:val="en-US" w:eastAsia="zh-CN"/>
              </w:rPr>
            </w:pPr>
          </w:p>
          <w:p w14:paraId="2EFCC14F">
            <w:pPr>
              <w:jc w:val="center"/>
              <w:rPr>
                <w:rFonts w:hint="eastAsia" w:ascii="宋体" w:hAnsi="宋体" w:cs="宋体"/>
                <w:color w:val="auto"/>
                <w:sz w:val="21"/>
                <w:szCs w:val="21"/>
                <w:highlight w:val="none"/>
                <w:lang w:val="en-US" w:eastAsia="zh-CN"/>
              </w:rPr>
            </w:pPr>
          </w:p>
          <w:p w14:paraId="19EA5A4F">
            <w:pPr>
              <w:jc w:val="center"/>
              <w:rPr>
                <w:rFonts w:hint="eastAsia" w:ascii="宋体" w:hAnsi="宋体" w:cs="宋体"/>
                <w:color w:val="auto"/>
                <w:sz w:val="21"/>
                <w:szCs w:val="21"/>
                <w:highlight w:val="none"/>
                <w:lang w:val="en-US" w:eastAsia="zh-CN"/>
              </w:rPr>
            </w:pPr>
          </w:p>
          <w:p w14:paraId="00E10C4C">
            <w:pPr>
              <w:jc w:val="center"/>
              <w:rPr>
                <w:rFonts w:hint="eastAsia" w:ascii="宋体" w:hAnsi="宋体" w:cs="宋体"/>
                <w:color w:val="auto"/>
                <w:sz w:val="21"/>
                <w:szCs w:val="21"/>
                <w:highlight w:val="none"/>
                <w:lang w:val="en-US" w:eastAsia="zh-CN"/>
              </w:rPr>
            </w:pPr>
          </w:p>
          <w:p w14:paraId="75AA1899">
            <w:pPr>
              <w:jc w:val="center"/>
              <w:rPr>
                <w:rFonts w:hint="eastAsia" w:ascii="宋体" w:hAnsi="宋体" w:cs="宋体"/>
                <w:color w:val="auto"/>
                <w:sz w:val="21"/>
                <w:szCs w:val="21"/>
                <w:highlight w:val="none"/>
                <w:lang w:val="en-US" w:eastAsia="zh-CN"/>
              </w:rPr>
            </w:pPr>
          </w:p>
          <w:p w14:paraId="3E96DDD3">
            <w:pPr>
              <w:jc w:val="center"/>
              <w:rPr>
                <w:rFonts w:hint="eastAsia" w:ascii="宋体" w:hAnsi="宋体" w:cs="宋体"/>
                <w:color w:val="auto"/>
                <w:sz w:val="21"/>
                <w:szCs w:val="21"/>
                <w:highlight w:val="none"/>
                <w:lang w:val="en-US" w:eastAsia="zh-CN"/>
              </w:rPr>
            </w:pPr>
          </w:p>
          <w:p w14:paraId="2540C691">
            <w:pPr>
              <w:jc w:val="center"/>
              <w:rPr>
                <w:rFonts w:hint="eastAsia" w:ascii="宋体" w:hAnsi="宋体" w:eastAsia="宋体" w:cs="宋体"/>
                <w:color w:val="auto"/>
                <w:sz w:val="21"/>
                <w:szCs w:val="21"/>
                <w:highlight w:val="none"/>
                <w:lang w:val="en-US" w:eastAsia="zh-CN"/>
              </w:rPr>
            </w:pPr>
          </w:p>
        </w:tc>
        <w:tc>
          <w:tcPr>
            <w:tcW w:w="1200" w:type="dxa"/>
            <w:vMerge w:val="restart"/>
            <w:noWrap w:val="0"/>
            <w:vAlign w:val="center"/>
          </w:tcPr>
          <w:p w14:paraId="468EBD0F">
            <w:pPr>
              <w:numPr>
                <w:ilvl w:val="0"/>
                <w:numId w:val="0"/>
              </w:numPr>
              <w:ind w:leftChars="0"/>
              <w:rPr>
                <w:rFonts w:hint="eastAsia" w:ascii="宋体" w:hAnsi="宋体" w:eastAsia="宋体" w:cs="宋体"/>
                <w:sz w:val="21"/>
                <w:szCs w:val="21"/>
                <w:highlight w:val="none"/>
              </w:rPr>
            </w:pPr>
          </w:p>
          <w:p w14:paraId="4498F122">
            <w:pPr>
              <w:numPr>
                <w:ilvl w:val="0"/>
                <w:numId w:val="0"/>
              </w:numPr>
              <w:ind w:leftChars="0"/>
              <w:rPr>
                <w:rFonts w:hint="eastAsia" w:ascii="宋体" w:hAnsi="宋体" w:eastAsia="宋体" w:cs="宋体"/>
                <w:sz w:val="21"/>
                <w:szCs w:val="21"/>
                <w:highlight w:val="none"/>
              </w:rPr>
            </w:pPr>
          </w:p>
          <w:p w14:paraId="5EE1AFD6">
            <w:pPr>
              <w:numPr>
                <w:ilvl w:val="0"/>
                <w:numId w:val="0"/>
              </w:numPr>
              <w:ind w:leftChars="0"/>
              <w:rPr>
                <w:rFonts w:hint="eastAsia" w:ascii="宋体" w:hAnsi="宋体" w:eastAsia="宋体" w:cs="宋体"/>
                <w:sz w:val="21"/>
                <w:szCs w:val="21"/>
                <w:highlight w:val="none"/>
              </w:rPr>
            </w:pPr>
          </w:p>
          <w:p w14:paraId="38A10103">
            <w:pPr>
              <w:numPr>
                <w:ilvl w:val="0"/>
                <w:numId w:val="0"/>
              </w:numPr>
              <w:ind w:leftChars="0"/>
              <w:rPr>
                <w:rFonts w:hint="eastAsia" w:ascii="宋体" w:hAnsi="宋体" w:eastAsia="宋体" w:cs="宋体"/>
                <w:sz w:val="21"/>
                <w:szCs w:val="21"/>
                <w:highlight w:val="none"/>
              </w:rPr>
            </w:pPr>
          </w:p>
          <w:p w14:paraId="30255430">
            <w:pPr>
              <w:numPr>
                <w:ilvl w:val="0"/>
                <w:numId w:val="0"/>
              </w:numPr>
              <w:ind w:leftChars="0"/>
              <w:rPr>
                <w:rFonts w:hint="eastAsia" w:ascii="宋体" w:hAnsi="宋体" w:eastAsia="宋体" w:cs="宋体"/>
                <w:sz w:val="21"/>
                <w:szCs w:val="21"/>
                <w:highlight w:val="none"/>
              </w:rPr>
            </w:pPr>
          </w:p>
          <w:p w14:paraId="0482E68A">
            <w:pPr>
              <w:numPr>
                <w:ilvl w:val="0"/>
                <w:numId w:val="0"/>
              </w:numPr>
              <w:ind w:leftChars="0"/>
              <w:rPr>
                <w:rFonts w:hint="eastAsia" w:ascii="宋体" w:hAnsi="宋体" w:eastAsia="宋体" w:cs="宋体"/>
                <w:sz w:val="21"/>
                <w:szCs w:val="21"/>
                <w:highlight w:val="none"/>
              </w:rPr>
            </w:pPr>
          </w:p>
          <w:p w14:paraId="1A609C6A">
            <w:pPr>
              <w:numPr>
                <w:ilvl w:val="0"/>
                <w:numId w:val="0"/>
              </w:numPr>
              <w:ind w:leftChars="0"/>
              <w:rPr>
                <w:rFonts w:hint="eastAsia" w:ascii="宋体" w:hAnsi="宋体" w:eastAsia="宋体" w:cs="宋体"/>
                <w:sz w:val="21"/>
                <w:szCs w:val="21"/>
                <w:highlight w:val="none"/>
              </w:rPr>
            </w:pPr>
          </w:p>
          <w:p w14:paraId="6F407212">
            <w:pPr>
              <w:numPr>
                <w:ilvl w:val="0"/>
                <w:numId w:val="0"/>
              </w:numPr>
              <w:ind w:leftChars="0"/>
              <w:rPr>
                <w:rFonts w:hint="eastAsia" w:ascii="宋体" w:hAnsi="宋体" w:eastAsia="宋体" w:cs="宋体"/>
                <w:sz w:val="21"/>
                <w:szCs w:val="21"/>
                <w:highlight w:val="none"/>
              </w:rPr>
            </w:pPr>
          </w:p>
          <w:p w14:paraId="1C9C854B">
            <w:pPr>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技术</w:t>
            </w:r>
            <w:r>
              <w:rPr>
                <w:rFonts w:hint="eastAsia" w:ascii="宋体" w:hAnsi="宋体" w:cs="宋体"/>
                <w:sz w:val="21"/>
                <w:szCs w:val="21"/>
                <w:highlight w:val="none"/>
                <w:lang w:val="en-US" w:eastAsia="zh-CN"/>
              </w:rPr>
              <w:t>资信</w:t>
            </w:r>
            <w:r>
              <w:rPr>
                <w:rFonts w:hint="eastAsia" w:ascii="宋体" w:hAnsi="宋体" w:eastAsia="宋体" w:cs="宋体"/>
                <w:sz w:val="21"/>
                <w:szCs w:val="21"/>
                <w:highlight w:val="none"/>
              </w:rPr>
              <w:t>分</w:t>
            </w:r>
            <w:r>
              <w:rPr>
                <w:rFonts w:hint="eastAsia" w:ascii="宋体" w:hAnsi="宋体" w:cs="宋体"/>
                <w:sz w:val="21"/>
                <w:szCs w:val="21"/>
                <w:highlight w:val="none"/>
                <w:lang w:val="en-US" w:eastAsia="zh-CN"/>
              </w:rPr>
              <w:t>90</w:t>
            </w:r>
          </w:p>
          <w:p w14:paraId="1234BC27">
            <w:pPr>
              <w:numPr>
                <w:ilvl w:val="0"/>
                <w:numId w:val="0"/>
              </w:numPr>
              <w:ind w:leftChars="0"/>
              <w:rPr>
                <w:rFonts w:hint="eastAsia" w:ascii="宋体" w:hAnsi="宋体" w:cs="宋体"/>
                <w:sz w:val="21"/>
                <w:szCs w:val="21"/>
                <w:highlight w:val="none"/>
                <w:lang w:val="en-US" w:eastAsia="zh-CN"/>
              </w:rPr>
            </w:pPr>
          </w:p>
          <w:p w14:paraId="0AAFFC88">
            <w:pPr>
              <w:numPr>
                <w:ilvl w:val="0"/>
                <w:numId w:val="0"/>
              </w:numPr>
              <w:ind w:leftChars="0"/>
              <w:rPr>
                <w:rFonts w:hint="eastAsia" w:ascii="宋体" w:hAnsi="宋体" w:cs="宋体"/>
                <w:sz w:val="21"/>
                <w:szCs w:val="21"/>
                <w:highlight w:val="none"/>
                <w:lang w:val="en-US" w:eastAsia="zh-CN"/>
              </w:rPr>
            </w:pPr>
          </w:p>
          <w:p w14:paraId="04373D58">
            <w:pPr>
              <w:numPr>
                <w:ilvl w:val="0"/>
                <w:numId w:val="0"/>
              </w:numPr>
              <w:ind w:leftChars="0"/>
              <w:rPr>
                <w:rFonts w:hint="eastAsia" w:ascii="宋体" w:hAnsi="宋体" w:cs="宋体"/>
                <w:sz w:val="21"/>
                <w:szCs w:val="21"/>
                <w:highlight w:val="none"/>
                <w:lang w:val="en-US" w:eastAsia="zh-CN"/>
              </w:rPr>
            </w:pPr>
          </w:p>
          <w:p w14:paraId="323C5F7A">
            <w:pPr>
              <w:numPr>
                <w:ilvl w:val="0"/>
                <w:numId w:val="0"/>
              </w:numPr>
              <w:ind w:leftChars="0"/>
              <w:rPr>
                <w:rFonts w:hint="eastAsia" w:ascii="宋体" w:hAnsi="宋体" w:cs="宋体"/>
                <w:sz w:val="21"/>
                <w:szCs w:val="21"/>
                <w:highlight w:val="none"/>
                <w:lang w:val="en-US" w:eastAsia="zh-CN"/>
              </w:rPr>
            </w:pPr>
          </w:p>
          <w:p w14:paraId="6AD45C32">
            <w:pPr>
              <w:numPr>
                <w:ilvl w:val="0"/>
                <w:numId w:val="0"/>
              </w:numPr>
              <w:ind w:leftChars="0"/>
              <w:rPr>
                <w:rFonts w:hint="eastAsia" w:ascii="宋体" w:hAnsi="宋体" w:cs="宋体"/>
                <w:sz w:val="21"/>
                <w:szCs w:val="21"/>
                <w:highlight w:val="none"/>
                <w:lang w:val="en-US" w:eastAsia="zh-CN"/>
              </w:rPr>
            </w:pPr>
          </w:p>
          <w:p w14:paraId="26405F67">
            <w:pPr>
              <w:numPr>
                <w:ilvl w:val="0"/>
                <w:numId w:val="0"/>
              </w:numPr>
              <w:ind w:leftChars="0"/>
              <w:rPr>
                <w:rFonts w:hint="eastAsia" w:ascii="宋体" w:hAnsi="宋体" w:cs="宋体"/>
                <w:sz w:val="21"/>
                <w:szCs w:val="21"/>
                <w:highlight w:val="none"/>
                <w:lang w:val="en-US" w:eastAsia="zh-CN"/>
              </w:rPr>
            </w:pPr>
          </w:p>
          <w:p w14:paraId="67567D18">
            <w:pPr>
              <w:numPr>
                <w:ilvl w:val="0"/>
                <w:numId w:val="0"/>
              </w:numPr>
              <w:ind w:leftChars="0"/>
              <w:rPr>
                <w:rFonts w:hint="eastAsia" w:ascii="宋体" w:hAnsi="宋体" w:cs="宋体"/>
                <w:sz w:val="21"/>
                <w:szCs w:val="21"/>
                <w:highlight w:val="none"/>
                <w:lang w:val="en-US" w:eastAsia="zh-CN"/>
              </w:rPr>
            </w:pPr>
          </w:p>
          <w:p w14:paraId="4E407712">
            <w:pPr>
              <w:numPr>
                <w:ilvl w:val="0"/>
                <w:numId w:val="0"/>
              </w:numPr>
              <w:ind w:leftChars="0"/>
              <w:rPr>
                <w:rFonts w:hint="eastAsia" w:ascii="宋体" w:hAnsi="宋体" w:cs="宋体"/>
                <w:sz w:val="21"/>
                <w:szCs w:val="21"/>
                <w:highlight w:val="none"/>
                <w:lang w:val="en-US" w:eastAsia="zh-CN"/>
              </w:rPr>
            </w:pPr>
          </w:p>
          <w:p w14:paraId="06C8E570">
            <w:pPr>
              <w:numPr>
                <w:ilvl w:val="0"/>
                <w:numId w:val="0"/>
              </w:numPr>
              <w:ind w:leftChars="0"/>
              <w:rPr>
                <w:rFonts w:hint="eastAsia" w:ascii="宋体" w:hAnsi="宋体" w:cs="宋体"/>
                <w:sz w:val="21"/>
                <w:szCs w:val="21"/>
                <w:highlight w:val="none"/>
                <w:lang w:val="en-US" w:eastAsia="zh-CN"/>
              </w:rPr>
            </w:pPr>
          </w:p>
          <w:p w14:paraId="45CA4701">
            <w:pPr>
              <w:numPr>
                <w:ilvl w:val="0"/>
                <w:numId w:val="0"/>
              </w:numPr>
              <w:ind w:leftChars="0"/>
              <w:rPr>
                <w:rFonts w:hint="default" w:ascii="宋体" w:hAnsi="宋体" w:eastAsia="宋体" w:cs="宋体"/>
                <w:sz w:val="21"/>
                <w:szCs w:val="21"/>
                <w:highlight w:val="none"/>
                <w:lang w:val="en-US" w:eastAsia="zh-CN"/>
              </w:rPr>
            </w:pPr>
          </w:p>
        </w:tc>
        <w:tc>
          <w:tcPr>
            <w:tcW w:w="1099" w:type="dxa"/>
            <w:shd w:val="clear" w:color="auto" w:fill="auto"/>
            <w:noWrap w:val="0"/>
            <w:vAlign w:val="center"/>
          </w:tcPr>
          <w:p w14:paraId="699FAD3F">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基础技术指标</w:t>
            </w:r>
          </w:p>
          <w:p w14:paraId="212A2D83">
            <w:pPr>
              <w:spacing w:line="320" w:lineRule="exact"/>
              <w:jc w:val="center"/>
              <w:rPr>
                <w:rFonts w:hint="eastAsia" w:ascii="宋体" w:hAnsi="宋体" w:eastAsia="宋体" w:cs="宋体"/>
                <w:color w:val="auto"/>
                <w:kern w:val="2"/>
                <w:sz w:val="21"/>
                <w:szCs w:val="21"/>
                <w:highlight w:val="none"/>
                <w:lang w:val="en-US" w:eastAsia="zh-CN" w:bidi="ar-SA"/>
              </w:rPr>
            </w:pPr>
          </w:p>
        </w:tc>
        <w:tc>
          <w:tcPr>
            <w:tcW w:w="5205" w:type="dxa"/>
            <w:shd w:val="clear" w:color="auto" w:fill="auto"/>
            <w:noWrap w:val="0"/>
            <w:vAlign w:val="center"/>
          </w:tcPr>
          <w:p w14:paraId="6741C0C1">
            <w:pPr>
              <w:pStyle w:val="5"/>
              <w:keepNext w:val="0"/>
              <w:keepLines w:val="0"/>
              <w:pageBreakBefore w:val="0"/>
              <w:widowControl w:val="0"/>
              <w:numPr>
                <w:ilvl w:val="0"/>
                <w:numId w:val="0"/>
              </w:numPr>
              <w:wordWrap/>
              <w:topLinePunct w:val="0"/>
              <w:autoSpaceDE/>
              <w:autoSpaceDN/>
              <w:bidi w:val="0"/>
              <w:adjustRightInd/>
              <w:snapToGrid/>
              <w:spacing w:line="240" w:lineRule="auto"/>
              <w:ind w:leftChars="0"/>
              <w:jc w:val="both"/>
              <w:textAlignment w:val="auto"/>
              <w:rPr>
                <w:rFonts w:hint="eastAsia" w:ascii="宋体" w:hAnsi="宋体" w:eastAsia="宋体" w:cs="宋体"/>
                <w:spacing w:val="-1"/>
                <w:sz w:val="21"/>
                <w:szCs w:val="21"/>
                <w:lang w:eastAsia="zh-CN"/>
              </w:rPr>
            </w:pPr>
            <w:r>
              <w:rPr>
                <w:rFonts w:hint="eastAsia" w:ascii="宋体" w:hAnsi="宋体" w:eastAsia="宋体" w:cs="宋体"/>
                <w:sz w:val="21"/>
                <w:szCs w:val="21"/>
                <w:lang w:val="en-US" w:eastAsia="zh-CN"/>
              </w:rPr>
              <w:t>1、</w:t>
            </w:r>
            <w:r>
              <w:rPr>
                <w:rFonts w:hint="eastAsia" w:ascii="宋体" w:hAnsi="宋体" w:eastAsia="宋体" w:cs="宋体"/>
                <w:spacing w:val="-1"/>
                <w:sz w:val="21"/>
                <w:szCs w:val="21"/>
              </w:rPr>
              <w:t>提供球场面层急性经口毒性试验、急</w:t>
            </w:r>
            <w:r>
              <w:rPr>
                <w:rFonts w:hint="eastAsia" w:ascii="宋体" w:hAnsi="宋体" w:eastAsia="宋体" w:cs="宋体"/>
                <w:sz w:val="21"/>
                <w:szCs w:val="21"/>
              </w:rPr>
              <w:t>性眼刺激性/腐蚀性试验、急性皮肤刺激性/腐蚀性试验、急性吸入毒性试验、急性经皮毒性试验、皮肤致敏试验六种化学品毒性测试报告；</w:t>
            </w:r>
            <w:r>
              <w:rPr>
                <w:rFonts w:hint="eastAsia" w:ascii="宋体" w:hAnsi="宋体" w:eastAsia="宋体" w:cs="宋体"/>
                <w:spacing w:val="-1"/>
                <w:sz w:val="21"/>
                <w:szCs w:val="21"/>
              </w:rPr>
              <w:t>（投标文件中提供第三方有权检测机构出具的具有 CMA 标识的检测报告扫描件证明上述技术参数及要求）</w:t>
            </w:r>
            <w:r>
              <w:rPr>
                <w:rFonts w:hint="eastAsia" w:ascii="宋体" w:hAnsi="宋体" w:eastAsia="宋体" w:cs="宋体"/>
                <w:spacing w:val="-1"/>
                <w:sz w:val="21"/>
                <w:szCs w:val="21"/>
                <w:lang w:eastAsia="zh-CN"/>
              </w:rPr>
              <w:t>；</w:t>
            </w:r>
          </w:p>
          <w:p w14:paraId="2638A857">
            <w:pPr>
              <w:pStyle w:val="6"/>
              <w:keepNext w:val="0"/>
              <w:keepLines w:val="0"/>
              <w:pageBreakBefore w:val="0"/>
              <w:widowControl w:val="0"/>
              <w:kinsoku w:val="0"/>
              <w:wordWrap/>
              <w:overflowPunct w:val="0"/>
              <w:topLinePunct w:val="0"/>
              <w:autoSpaceDE/>
              <w:autoSpaceDN/>
              <w:bidi w:val="0"/>
              <w:adjustRightInd/>
              <w:snapToGrid/>
              <w:spacing w:before="92" w:beforeLines="0" w:afterLines="0" w:line="240" w:lineRule="auto"/>
              <w:ind w:left="107" w:right="167"/>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2、硅 PU 弹性层材料在碱处理后，材料漆膜完整、不起泡、不剥落、允许轻微变色，拉伸强度≥0.5MPa， 拉断伸长率≥40%，低温弯折性在 -30℃下无裂纹；（投标文件中提供第三方有权检测机构出具的具有 CMA标识的检测报告扫描件证明上述技术参数及要求）；</w:t>
            </w:r>
          </w:p>
          <w:p w14:paraId="1CE760A1">
            <w:pPr>
              <w:pStyle w:val="6"/>
              <w:keepNext w:val="0"/>
              <w:keepLines w:val="0"/>
              <w:pageBreakBefore w:val="0"/>
              <w:widowControl w:val="0"/>
              <w:kinsoku w:val="0"/>
              <w:wordWrap/>
              <w:overflowPunct w:val="0"/>
              <w:topLinePunct w:val="0"/>
              <w:autoSpaceDE/>
              <w:autoSpaceDN/>
              <w:bidi w:val="0"/>
              <w:adjustRightInd/>
              <w:snapToGrid/>
              <w:spacing w:before="92" w:beforeLines="0" w:afterLines="0" w:line="240" w:lineRule="auto"/>
              <w:ind w:left="107" w:right="167"/>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3、提供球场面层成品的冻融循环性测试数据， 在&lt;-5℃及恒温(25±2℃)水中状态下放置≧24h，并循环≧20 次，测试拉伸强度 、拉断伸长率数据要求符合GB/T22517.4-2017 、GB/T 14833-2020 标准；（投标文件中提供第三方有权检测机构出具的具有 CMA标识的检测报告扫描件证明上述技术参数及要求）；</w:t>
            </w:r>
          </w:p>
          <w:p w14:paraId="79279B48">
            <w:pPr>
              <w:pStyle w:val="6"/>
              <w:keepNext w:val="0"/>
              <w:keepLines w:val="0"/>
              <w:pageBreakBefore w:val="0"/>
              <w:widowControl w:val="0"/>
              <w:kinsoku w:val="0"/>
              <w:wordWrap/>
              <w:overflowPunct w:val="0"/>
              <w:topLinePunct w:val="0"/>
              <w:autoSpaceDE/>
              <w:autoSpaceDN/>
              <w:bidi w:val="0"/>
              <w:adjustRightInd/>
              <w:snapToGrid/>
              <w:spacing w:before="92" w:beforeLines="0" w:afterLines="0" w:line="240" w:lineRule="auto"/>
              <w:ind w:left="107" w:right="167"/>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4、球场面层成品经过 60℃ 热空气老化</w:t>
            </w:r>
            <w:r>
              <w:rPr>
                <w:rFonts w:hint="eastAsia" w:ascii="宋体" w:hAnsi="宋体" w:eastAsia="宋体" w:cs="宋体"/>
                <w:color w:val="FF0000"/>
                <w:kern w:val="2"/>
                <w:sz w:val="21"/>
                <w:szCs w:val="21"/>
                <w:lang w:val="en-US" w:eastAsia="zh-CN" w:bidi="ar-SA"/>
              </w:rPr>
              <w:t>≥</w:t>
            </w:r>
            <w:r>
              <w:rPr>
                <w:rFonts w:hint="eastAsia" w:ascii="宋体" w:hAnsi="宋体" w:cs="宋体"/>
                <w:color w:val="FF0000"/>
                <w:kern w:val="2"/>
                <w:sz w:val="21"/>
                <w:szCs w:val="21"/>
                <w:lang w:val="en-US" w:eastAsia="zh-CN" w:bidi="ar-SA"/>
              </w:rPr>
              <w:t>6</w:t>
            </w:r>
            <w:r>
              <w:rPr>
                <w:rFonts w:hint="eastAsia" w:ascii="宋体" w:hAnsi="宋体" w:eastAsia="宋体" w:cs="宋体"/>
                <w:color w:val="FF0000"/>
                <w:kern w:val="2"/>
                <w:sz w:val="21"/>
                <w:szCs w:val="21"/>
                <w:lang w:val="en-US" w:eastAsia="zh-CN" w:bidi="ar-SA"/>
              </w:rPr>
              <w:t xml:space="preserve">00h </w:t>
            </w:r>
            <w:r>
              <w:rPr>
                <w:rFonts w:hint="eastAsia" w:ascii="宋体" w:hAnsi="宋体" w:eastAsia="宋体" w:cs="宋体"/>
                <w:kern w:val="2"/>
                <w:sz w:val="21"/>
                <w:szCs w:val="21"/>
                <w:lang w:val="en-US" w:eastAsia="zh-CN" w:bidi="ar-SA"/>
              </w:rPr>
              <w:t>后，拉断伸长率</w:t>
            </w:r>
            <w:r>
              <w:rPr>
                <w:rFonts w:hint="eastAsia" w:ascii="宋体" w:hAnsi="宋体" w:eastAsia="宋体" w:cs="宋体"/>
                <w:color w:val="FF0000"/>
                <w:kern w:val="2"/>
                <w:sz w:val="21"/>
                <w:szCs w:val="21"/>
                <w:lang w:val="en-US" w:eastAsia="zh-CN" w:bidi="ar-SA"/>
              </w:rPr>
              <w:t>＞</w:t>
            </w:r>
            <w:r>
              <w:rPr>
                <w:rFonts w:hint="eastAsia" w:ascii="宋体" w:hAnsi="宋体" w:cs="宋体"/>
                <w:color w:val="FF0000"/>
                <w:kern w:val="2"/>
                <w:sz w:val="21"/>
                <w:szCs w:val="21"/>
                <w:lang w:val="en-US" w:eastAsia="zh-CN" w:bidi="ar-SA"/>
              </w:rPr>
              <w:t>5</w:t>
            </w:r>
            <w:r>
              <w:rPr>
                <w:rFonts w:hint="eastAsia" w:ascii="宋体" w:hAnsi="宋体" w:eastAsia="宋体" w:cs="宋体"/>
                <w:color w:val="FF0000"/>
                <w:kern w:val="2"/>
                <w:sz w:val="21"/>
                <w:szCs w:val="21"/>
                <w:lang w:val="en-US" w:eastAsia="zh-CN" w:bidi="ar-SA"/>
              </w:rPr>
              <w:t>0%</w:t>
            </w:r>
            <w:r>
              <w:rPr>
                <w:rFonts w:hint="eastAsia" w:ascii="宋体" w:hAnsi="宋体" w:eastAsia="宋体" w:cs="宋体"/>
                <w:kern w:val="2"/>
                <w:sz w:val="21"/>
                <w:szCs w:val="21"/>
                <w:lang w:val="en-US" w:eastAsia="zh-CN" w:bidi="ar-SA"/>
              </w:rPr>
              <w:t>。热空气老化前后，冲击吸收、垂直变形、拉伸强度、拉断伸长率均符合GB/T22517.4-2017、GB/T 14833-2020 的要求；（投标文件中提供第三方有权检测机构出具的具有 CMA标识的检测报告扫描件证明上述技术参数及要求）</w:t>
            </w:r>
          </w:p>
          <w:p w14:paraId="31995E3D">
            <w:pPr>
              <w:pStyle w:val="6"/>
              <w:keepNext w:val="0"/>
              <w:keepLines w:val="0"/>
              <w:pageBreakBefore w:val="0"/>
              <w:widowControl w:val="0"/>
              <w:kinsoku w:val="0"/>
              <w:wordWrap/>
              <w:overflowPunct w:val="0"/>
              <w:topLinePunct w:val="0"/>
              <w:autoSpaceDE/>
              <w:autoSpaceDN/>
              <w:bidi w:val="0"/>
              <w:adjustRightInd/>
              <w:snapToGrid/>
              <w:spacing w:before="92" w:beforeLines="0" w:afterLines="0" w:line="240" w:lineRule="auto"/>
              <w:ind w:left="107"/>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5、球场面漆材料抗划伤性≦0.5、抗 热胎压痕性△E≦0.5；（投标文件中提供第三方有权检测机构出具的具有 CMA标识的检测报告扫描件证明上述技术参数及要求）；</w:t>
            </w:r>
          </w:p>
          <w:p w14:paraId="58613F6A">
            <w:pPr>
              <w:pStyle w:val="6"/>
              <w:keepNext w:val="0"/>
              <w:keepLines w:val="0"/>
              <w:pageBreakBefore w:val="0"/>
              <w:widowControl w:val="0"/>
              <w:kinsoku w:val="0"/>
              <w:wordWrap/>
              <w:overflowPunct w:val="0"/>
              <w:topLinePunct w:val="0"/>
              <w:autoSpaceDE/>
              <w:autoSpaceDN/>
              <w:bidi w:val="0"/>
              <w:adjustRightInd/>
              <w:snapToGrid/>
              <w:spacing w:before="193" w:beforeLines="0" w:afterLines="0"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6、硅 PU 球场面层颜色耐用持久，经过光老化试验紫外辐射暴露</w:t>
            </w:r>
            <w:r>
              <w:rPr>
                <w:rFonts w:hint="eastAsia" w:ascii="宋体" w:hAnsi="宋体" w:eastAsia="宋体" w:cs="宋体"/>
                <w:color w:val="FF0000"/>
                <w:kern w:val="2"/>
                <w:sz w:val="21"/>
                <w:szCs w:val="21"/>
                <w:lang w:val="en-US" w:eastAsia="zh-CN" w:bidi="ar-SA"/>
              </w:rPr>
              <w:t>≧</w:t>
            </w:r>
            <w:r>
              <w:rPr>
                <w:rFonts w:hint="eastAsia" w:ascii="宋体" w:hAnsi="宋体" w:cs="宋体"/>
                <w:color w:val="FF0000"/>
                <w:kern w:val="2"/>
                <w:sz w:val="21"/>
                <w:szCs w:val="21"/>
                <w:lang w:val="en-US" w:eastAsia="zh-CN" w:bidi="ar-SA"/>
              </w:rPr>
              <w:t>1</w:t>
            </w:r>
            <w:r>
              <w:rPr>
                <w:rFonts w:hint="eastAsia" w:ascii="宋体" w:hAnsi="宋体" w:eastAsia="宋体" w:cs="宋体"/>
                <w:color w:val="FF0000"/>
                <w:kern w:val="2"/>
                <w:sz w:val="21"/>
                <w:szCs w:val="21"/>
                <w:lang w:val="en-US" w:eastAsia="zh-CN" w:bidi="ar-SA"/>
              </w:rPr>
              <w:t xml:space="preserve">000 </w:t>
            </w:r>
            <w:r>
              <w:rPr>
                <w:rFonts w:hint="eastAsia" w:ascii="宋体" w:hAnsi="宋体" w:eastAsia="宋体" w:cs="宋体"/>
                <w:kern w:val="2"/>
                <w:sz w:val="21"/>
                <w:szCs w:val="21"/>
                <w:lang w:val="en-US" w:eastAsia="zh-CN" w:bidi="ar-SA"/>
              </w:rPr>
              <w:t>小时后，灰标等级评定在 3-4 级或以上的；（投标文件中提供第三方有权检测机构出具的具有 CMA标识的检测报告扫描件证明上述技术参数及要求。</w:t>
            </w:r>
          </w:p>
          <w:p w14:paraId="0A5F71B1">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b/>
                <w:bCs/>
                <w:kern w:val="2"/>
                <w:sz w:val="21"/>
                <w:szCs w:val="21"/>
                <w:lang w:val="en-US" w:eastAsia="zh-CN" w:bidi="ar-SA"/>
              </w:rPr>
              <w:t>备注：需要提供</w:t>
            </w:r>
            <w:r>
              <w:rPr>
                <w:rFonts w:hint="eastAsia" w:ascii="宋体" w:hAnsi="宋体" w:cs="宋体"/>
                <w:b/>
                <w:bCs/>
                <w:kern w:val="2"/>
                <w:sz w:val="21"/>
                <w:szCs w:val="21"/>
                <w:lang w:val="en-US" w:eastAsia="zh-CN" w:bidi="ar-SA"/>
              </w:rPr>
              <w:t>针对本项目所使用</w:t>
            </w:r>
            <w:r>
              <w:rPr>
                <w:rFonts w:hint="eastAsia" w:ascii="宋体" w:hAnsi="宋体" w:eastAsia="宋体" w:cs="宋体"/>
                <w:b/>
                <w:bCs/>
                <w:kern w:val="2"/>
                <w:sz w:val="21"/>
                <w:szCs w:val="21"/>
                <w:lang w:val="en-US" w:eastAsia="zh-CN" w:bidi="ar-SA"/>
              </w:rPr>
              <w:t>硅PU的品牌、型号、以及上述1-6项的产品检测报告，后期施工材料必须与投标材料保持一致。每满足一项得6分，共6项，共计36分；</w:t>
            </w:r>
          </w:p>
        </w:tc>
        <w:tc>
          <w:tcPr>
            <w:tcW w:w="1326" w:type="dxa"/>
            <w:shd w:val="clear" w:color="auto" w:fill="auto"/>
            <w:noWrap w:val="0"/>
            <w:vAlign w:val="center"/>
          </w:tcPr>
          <w:p w14:paraId="42EF1053">
            <w:pPr>
              <w:spacing w:line="360" w:lineRule="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0-36分</w:t>
            </w:r>
          </w:p>
        </w:tc>
      </w:tr>
      <w:tr w14:paraId="2112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7" w:hRule="atLeast"/>
        </w:trPr>
        <w:tc>
          <w:tcPr>
            <w:tcW w:w="604" w:type="dxa"/>
            <w:vMerge w:val="continue"/>
            <w:tcBorders/>
            <w:noWrap w:val="0"/>
            <w:vAlign w:val="center"/>
          </w:tcPr>
          <w:p w14:paraId="5835B3BC">
            <w:pPr>
              <w:jc w:val="center"/>
              <w:rPr>
                <w:rFonts w:hint="eastAsia" w:ascii="宋体" w:hAnsi="宋体" w:cs="宋体"/>
                <w:color w:val="auto"/>
                <w:sz w:val="21"/>
                <w:szCs w:val="21"/>
                <w:highlight w:val="none"/>
                <w:lang w:val="en-US" w:eastAsia="zh-CN"/>
              </w:rPr>
            </w:pPr>
          </w:p>
        </w:tc>
        <w:tc>
          <w:tcPr>
            <w:tcW w:w="1200" w:type="dxa"/>
            <w:vMerge w:val="continue"/>
            <w:tcBorders/>
            <w:noWrap w:val="0"/>
            <w:vAlign w:val="center"/>
          </w:tcPr>
          <w:p w14:paraId="476174EB">
            <w:pPr>
              <w:numPr>
                <w:ilvl w:val="0"/>
                <w:numId w:val="0"/>
              </w:numPr>
              <w:ind w:leftChars="0"/>
              <w:rPr>
                <w:rFonts w:hint="eastAsia" w:ascii="宋体" w:hAnsi="宋体" w:eastAsia="宋体" w:cs="宋体"/>
                <w:sz w:val="21"/>
                <w:szCs w:val="21"/>
                <w:highlight w:val="none"/>
              </w:rPr>
            </w:pPr>
          </w:p>
        </w:tc>
        <w:tc>
          <w:tcPr>
            <w:tcW w:w="1099" w:type="dxa"/>
            <w:shd w:val="clear" w:color="auto" w:fill="auto"/>
            <w:noWrap w:val="0"/>
            <w:vAlign w:val="center"/>
          </w:tcPr>
          <w:p w14:paraId="028CB9BE">
            <w:pPr>
              <w:numPr>
                <w:ilvl w:val="0"/>
                <w:numId w:val="0"/>
              </w:numPr>
              <w:ind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施工</w:t>
            </w:r>
            <w:r>
              <w:rPr>
                <w:rFonts w:hint="eastAsia" w:ascii="宋体" w:hAnsi="宋体" w:eastAsia="宋体" w:cs="宋体"/>
                <w:color w:val="auto"/>
                <w:sz w:val="21"/>
                <w:szCs w:val="21"/>
                <w:highlight w:val="none"/>
              </w:rPr>
              <w:t>方案</w:t>
            </w:r>
          </w:p>
          <w:p w14:paraId="6D2BB292">
            <w:pPr>
              <w:numPr>
                <w:ilvl w:val="0"/>
                <w:numId w:val="0"/>
              </w:numPr>
              <w:ind w:left="0" w:leftChars="0" w:firstLine="0" w:firstLineChars="0"/>
              <w:rPr>
                <w:rFonts w:hint="eastAsia" w:ascii="Times New Roman" w:hAnsi="Times New Roman" w:eastAsia="宋体" w:cs="Times New Roman"/>
                <w:kern w:val="2"/>
                <w:sz w:val="21"/>
                <w:szCs w:val="21"/>
                <w:lang w:val="en-US" w:eastAsia="zh-CN" w:bidi="ar-SA"/>
              </w:rPr>
            </w:pPr>
          </w:p>
        </w:tc>
        <w:tc>
          <w:tcPr>
            <w:tcW w:w="5205" w:type="dxa"/>
            <w:shd w:val="clear" w:color="auto" w:fill="auto"/>
            <w:noWrap w:val="0"/>
            <w:vAlign w:val="center"/>
          </w:tcPr>
          <w:p w14:paraId="595AB9BF">
            <w:pPr>
              <w:numPr>
                <w:ilvl w:val="0"/>
                <w:numId w:val="0"/>
              </w:numPr>
              <w:ind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针对本项目硅PU球场施工特点，施工组织方案需包含以下核心内容，缺项、内容无针对性或不符合项目实际的，对应项不得分；内容完整、工艺合规、可落地执行的，得对应项满分：</w:t>
            </w:r>
          </w:p>
          <w:p w14:paraId="75F0DC62">
            <w:pPr>
              <w:numPr>
                <w:ilvl w:val="0"/>
                <w:numId w:val="0"/>
              </w:numPr>
              <w:ind w:left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基层处理与防水专项方案：针对项目现场混凝土基层的含水率、平整度、裂缝处理、防水底涂施工工艺制定专项方案，贴合项目现场实际的，得</w:t>
            </w:r>
            <w:r>
              <w:rPr>
                <w:rFonts w:hint="eastAsia" w:ascii="宋体" w:hAnsi="宋体" w:cs="宋体"/>
                <w:color w:val="auto"/>
                <w:sz w:val="21"/>
                <w:szCs w:val="21"/>
                <w:highlight w:val="none"/>
                <w:lang w:val="en-US" w:eastAsia="zh-CN"/>
              </w:rPr>
              <w:t>4-6</w:t>
            </w:r>
            <w:r>
              <w:rPr>
                <w:rFonts w:hint="eastAsia" w:ascii="宋体" w:hAnsi="宋体" w:eastAsia="宋体" w:cs="宋体"/>
                <w:color w:val="auto"/>
                <w:sz w:val="21"/>
                <w:szCs w:val="21"/>
                <w:highlight w:val="none"/>
              </w:rPr>
              <w:t>分；</w:t>
            </w:r>
          </w:p>
          <w:p w14:paraId="084EF7FB">
            <w:pPr>
              <w:numPr>
                <w:ilvl w:val="0"/>
                <w:numId w:val="0"/>
              </w:numPr>
              <w:ind w:left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硅PU分层摊铺施工专项方案：明确弹性层、加强层、面层层数、单次摊铺厚度、固化周期、施工环境温湿度管控要求，完全匹配本项目设计厚度的，得</w:t>
            </w:r>
            <w:r>
              <w:rPr>
                <w:rFonts w:hint="eastAsia" w:ascii="宋体" w:hAnsi="宋体" w:cs="宋体"/>
                <w:color w:val="auto"/>
                <w:sz w:val="21"/>
                <w:szCs w:val="21"/>
                <w:highlight w:val="none"/>
                <w:lang w:val="en-US" w:eastAsia="zh-CN"/>
              </w:rPr>
              <w:t>2-4</w:t>
            </w:r>
            <w:r>
              <w:rPr>
                <w:rFonts w:hint="eastAsia" w:ascii="宋体" w:hAnsi="宋体" w:eastAsia="宋体" w:cs="宋体"/>
                <w:color w:val="auto"/>
                <w:sz w:val="21"/>
                <w:szCs w:val="21"/>
                <w:highlight w:val="none"/>
              </w:rPr>
              <w:t>分；</w:t>
            </w:r>
          </w:p>
          <w:p w14:paraId="6EAC51F2">
            <w:pPr>
              <w:numPr>
                <w:ilvl w:val="0"/>
                <w:numId w:val="0"/>
              </w:numPr>
              <w:ind w:leftChars="0"/>
              <w:rPr>
                <w:rFonts w:hint="eastAsia" w:ascii="宋体" w:hAnsi="宋体" w:eastAsia="宋体" w:cs="宋体"/>
                <w:kern w:val="0"/>
                <w:sz w:val="21"/>
                <w:szCs w:val="21"/>
                <w:lang w:val="en-US" w:eastAsia="zh-CN" w:bidi="ar"/>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全流程质量管控方案：明确原材料进场双检、过程旁站、工序报验、成品见证取样检测的管控措施，符合GB 36246-2018 强制国标要求的，得</w:t>
            </w:r>
            <w:r>
              <w:rPr>
                <w:rFonts w:hint="eastAsia" w:ascii="宋体" w:hAnsi="宋体" w:cs="宋体"/>
                <w:color w:val="auto"/>
                <w:sz w:val="21"/>
                <w:szCs w:val="21"/>
                <w:highlight w:val="none"/>
                <w:lang w:val="en-US" w:eastAsia="zh-CN"/>
              </w:rPr>
              <w:t>2-4</w:t>
            </w:r>
            <w:r>
              <w:rPr>
                <w:rFonts w:hint="eastAsia" w:ascii="宋体" w:hAnsi="宋体" w:eastAsia="宋体" w:cs="宋体"/>
                <w:color w:val="auto"/>
                <w:sz w:val="21"/>
                <w:szCs w:val="21"/>
                <w:highlight w:val="none"/>
              </w:rPr>
              <w:t>分；</w:t>
            </w:r>
          </w:p>
        </w:tc>
        <w:tc>
          <w:tcPr>
            <w:tcW w:w="1326" w:type="dxa"/>
            <w:noWrap w:val="0"/>
            <w:vAlign w:val="center"/>
          </w:tcPr>
          <w:p w14:paraId="245D0DB0">
            <w:pPr>
              <w:spacing w:line="360" w:lineRule="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0-14分</w:t>
            </w:r>
          </w:p>
        </w:tc>
      </w:tr>
      <w:tr w14:paraId="7A5F6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4" w:type="dxa"/>
            <w:vMerge w:val="continue"/>
            <w:tcBorders/>
            <w:noWrap w:val="0"/>
            <w:vAlign w:val="center"/>
          </w:tcPr>
          <w:p w14:paraId="016328C9">
            <w:pPr>
              <w:jc w:val="center"/>
              <w:rPr>
                <w:rFonts w:hint="eastAsia" w:ascii="宋体" w:hAnsi="宋体" w:eastAsia="宋体" w:cs="宋体"/>
                <w:color w:val="auto"/>
                <w:sz w:val="21"/>
                <w:szCs w:val="21"/>
                <w:highlight w:val="none"/>
                <w:lang w:val="en-US" w:eastAsia="zh-CN"/>
              </w:rPr>
            </w:pPr>
          </w:p>
        </w:tc>
        <w:tc>
          <w:tcPr>
            <w:tcW w:w="1200" w:type="dxa"/>
            <w:vMerge w:val="continue"/>
            <w:tcBorders/>
            <w:noWrap w:val="0"/>
            <w:vAlign w:val="center"/>
          </w:tcPr>
          <w:p w14:paraId="4208BA16">
            <w:pPr>
              <w:numPr>
                <w:ilvl w:val="0"/>
                <w:numId w:val="0"/>
              </w:numPr>
              <w:ind w:leftChars="0"/>
              <w:rPr>
                <w:rFonts w:hint="eastAsia" w:ascii="宋体" w:hAnsi="宋体" w:eastAsia="宋体" w:cs="宋体"/>
                <w:color w:val="auto"/>
                <w:kern w:val="2"/>
                <w:sz w:val="21"/>
                <w:szCs w:val="21"/>
                <w:highlight w:val="none"/>
                <w:lang w:val="en-US" w:eastAsia="zh-CN" w:bidi="ar-SA"/>
              </w:rPr>
            </w:pPr>
          </w:p>
        </w:tc>
        <w:tc>
          <w:tcPr>
            <w:tcW w:w="1099" w:type="dxa"/>
            <w:shd w:val="clear" w:color="auto" w:fill="auto"/>
            <w:noWrap w:val="0"/>
            <w:vAlign w:val="center"/>
          </w:tcPr>
          <w:p w14:paraId="2B1F0660">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进度计划方案</w:t>
            </w:r>
          </w:p>
        </w:tc>
        <w:tc>
          <w:tcPr>
            <w:tcW w:w="5205" w:type="dxa"/>
            <w:shd w:val="clear" w:color="auto" w:fill="auto"/>
            <w:noWrap w:val="0"/>
            <w:vAlign w:val="center"/>
          </w:tcPr>
          <w:p w14:paraId="377CDEC7">
            <w:pPr>
              <w:numPr>
                <w:ilvl w:val="0"/>
                <w:numId w:val="1"/>
              </w:num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方案完整的，具有较强的针对性，非常有</w:t>
            </w:r>
            <w:r>
              <w:rPr>
                <w:rFonts w:hint="eastAsia" w:ascii="宋体" w:hAnsi="宋体" w:eastAsia="宋体" w:cs="宋体"/>
                <w:color w:val="auto"/>
                <w:sz w:val="21"/>
                <w:szCs w:val="21"/>
                <w:highlight w:val="none"/>
              </w:rPr>
              <w:t>利于项目实施的，得</w:t>
            </w:r>
            <w:r>
              <w:rPr>
                <w:rFonts w:hint="eastAsia" w:ascii="宋体" w:hAnsi="宋体" w:cs="宋体"/>
                <w:color w:val="auto"/>
                <w:sz w:val="21"/>
                <w:szCs w:val="21"/>
                <w:highlight w:val="none"/>
                <w:lang w:val="en-US" w:eastAsia="zh-CN"/>
              </w:rPr>
              <w:t>8-10</w:t>
            </w:r>
            <w:r>
              <w:rPr>
                <w:rFonts w:hint="eastAsia" w:ascii="宋体" w:hAnsi="宋体" w:eastAsia="宋体" w:cs="宋体"/>
                <w:color w:val="auto"/>
                <w:sz w:val="21"/>
                <w:szCs w:val="21"/>
                <w:highlight w:val="none"/>
              </w:rPr>
              <w:t>分；</w:t>
            </w:r>
          </w:p>
          <w:p w14:paraId="0DD83D25">
            <w:pPr>
              <w:numPr>
                <w:ilvl w:val="0"/>
                <w:numId w:val="1"/>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方案较完整的，有一定针对性，方案较有利于项目实施的，得</w:t>
            </w:r>
            <w:r>
              <w:rPr>
                <w:rFonts w:hint="eastAsia" w:ascii="宋体" w:hAnsi="宋体" w:cs="宋体"/>
                <w:color w:val="auto"/>
                <w:sz w:val="21"/>
                <w:szCs w:val="21"/>
                <w:highlight w:val="none"/>
                <w:lang w:val="en-US" w:eastAsia="zh-CN"/>
              </w:rPr>
              <w:t>4-7</w:t>
            </w:r>
            <w:r>
              <w:rPr>
                <w:rFonts w:hint="eastAsia" w:ascii="宋体" w:hAnsi="宋体" w:eastAsia="宋体" w:cs="宋体"/>
                <w:color w:val="auto"/>
                <w:sz w:val="21"/>
                <w:szCs w:val="21"/>
                <w:highlight w:val="none"/>
                <w:lang w:val="en-US" w:eastAsia="zh-CN"/>
              </w:rPr>
              <w:t>分；</w:t>
            </w:r>
          </w:p>
          <w:p w14:paraId="4E67196F">
            <w:pPr>
              <w:numPr>
                <w:ilvl w:val="0"/>
                <w:numId w:val="1"/>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方案较完整的，针对性有待提高的，基本满足项目实施的，得</w:t>
            </w:r>
            <w:r>
              <w:rPr>
                <w:rFonts w:hint="eastAsia" w:ascii="宋体" w:hAnsi="宋体" w:cs="宋体"/>
                <w:color w:val="auto"/>
                <w:sz w:val="21"/>
                <w:szCs w:val="21"/>
                <w:highlight w:val="none"/>
                <w:lang w:val="en-US" w:eastAsia="zh-CN"/>
              </w:rPr>
              <w:t>1-3</w:t>
            </w:r>
            <w:r>
              <w:rPr>
                <w:rFonts w:hint="eastAsia" w:ascii="宋体" w:hAnsi="宋体" w:eastAsia="宋体" w:cs="宋体"/>
                <w:color w:val="auto"/>
                <w:sz w:val="21"/>
                <w:szCs w:val="21"/>
                <w:highlight w:val="none"/>
                <w:lang w:val="en-US" w:eastAsia="zh-CN"/>
              </w:rPr>
              <w:t>分；</w:t>
            </w:r>
          </w:p>
        </w:tc>
        <w:tc>
          <w:tcPr>
            <w:tcW w:w="1326" w:type="dxa"/>
            <w:noWrap w:val="0"/>
            <w:vAlign w:val="center"/>
          </w:tcPr>
          <w:p w14:paraId="6AC990DD">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0-10分</w:t>
            </w:r>
          </w:p>
        </w:tc>
      </w:tr>
      <w:tr w14:paraId="59AA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4" w:type="dxa"/>
            <w:vMerge w:val="continue"/>
            <w:tcBorders/>
            <w:noWrap w:val="0"/>
            <w:vAlign w:val="center"/>
          </w:tcPr>
          <w:p w14:paraId="6C4CA1BD">
            <w:pPr>
              <w:jc w:val="center"/>
              <w:rPr>
                <w:rFonts w:hint="eastAsia" w:ascii="宋体" w:hAnsi="宋体" w:eastAsia="宋体" w:cs="宋体"/>
                <w:color w:val="auto"/>
                <w:sz w:val="21"/>
                <w:szCs w:val="21"/>
                <w:highlight w:val="none"/>
                <w:lang w:val="en-US" w:eastAsia="zh-CN"/>
              </w:rPr>
            </w:pPr>
          </w:p>
        </w:tc>
        <w:tc>
          <w:tcPr>
            <w:tcW w:w="1200" w:type="dxa"/>
            <w:vMerge w:val="continue"/>
            <w:tcBorders/>
            <w:noWrap w:val="0"/>
            <w:vAlign w:val="center"/>
          </w:tcPr>
          <w:p w14:paraId="06C51320">
            <w:pPr>
              <w:numPr>
                <w:ilvl w:val="0"/>
                <w:numId w:val="0"/>
              </w:numPr>
              <w:ind w:leftChars="0"/>
              <w:rPr>
                <w:rFonts w:hint="default" w:ascii="宋体" w:hAnsi="宋体" w:eastAsia="宋体" w:cs="宋体"/>
                <w:sz w:val="21"/>
                <w:szCs w:val="21"/>
                <w:highlight w:val="none"/>
                <w:lang w:val="en-US" w:eastAsia="zh-CN"/>
              </w:rPr>
            </w:pPr>
          </w:p>
        </w:tc>
        <w:tc>
          <w:tcPr>
            <w:tcW w:w="1099" w:type="dxa"/>
            <w:shd w:val="clear" w:color="auto" w:fill="auto"/>
            <w:noWrap w:val="0"/>
            <w:vAlign w:val="center"/>
          </w:tcPr>
          <w:p w14:paraId="4570EABD">
            <w:pPr>
              <w:jc w:val="both"/>
              <w:rPr>
                <w:rFonts w:hint="eastAsia" w:ascii="宋体" w:hAnsi="宋体" w:cs="宋体"/>
                <w:color w:val="auto"/>
                <w:sz w:val="21"/>
                <w:szCs w:val="21"/>
                <w:highlight w:val="none"/>
              </w:rPr>
            </w:pPr>
            <w:r>
              <w:rPr>
                <w:rFonts w:hint="eastAsia"/>
                <w:sz w:val="21"/>
                <w:szCs w:val="21"/>
              </w:rPr>
              <w:t>售后服务与维保方案</w:t>
            </w:r>
            <w:bookmarkStart w:id="0" w:name="_GoBack"/>
            <w:bookmarkEnd w:id="0"/>
          </w:p>
          <w:p w14:paraId="69D5F1F2">
            <w:pPr>
              <w:jc w:val="center"/>
              <w:rPr>
                <w:rFonts w:hint="eastAsia" w:ascii="宋体" w:hAnsi="宋体" w:eastAsia="宋体" w:cs="宋体"/>
                <w:color w:val="auto"/>
                <w:kern w:val="2"/>
                <w:sz w:val="21"/>
                <w:szCs w:val="21"/>
                <w:highlight w:val="none"/>
                <w:lang w:val="en-US" w:eastAsia="zh-CN" w:bidi="ar-SA"/>
              </w:rPr>
            </w:pPr>
          </w:p>
        </w:tc>
        <w:tc>
          <w:tcPr>
            <w:tcW w:w="5205" w:type="dxa"/>
            <w:shd w:val="clear" w:color="auto" w:fill="auto"/>
            <w:noWrap w:val="0"/>
            <w:vAlign w:val="center"/>
          </w:tcPr>
          <w:p w14:paraId="5B500422">
            <w:pPr>
              <w:numPr>
                <w:ilvl w:val="0"/>
                <w:numId w:val="0"/>
              </w:numPr>
              <w:ind w:lef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评标委员会根据各投标人投标文件中提供的售后服务及维保体系方案进行综合评审：</w:t>
            </w:r>
          </w:p>
          <w:p w14:paraId="73415D0A">
            <w:pPr>
              <w:numPr>
                <w:ilvl w:val="0"/>
                <w:numId w:val="0"/>
              </w:numPr>
              <w:ind w:lef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1、方案完整、合理，内容丰富可行性强的，得</w:t>
            </w:r>
            <w:r>
              <w:rPr>
                <w:rFonts w:hint="eastAsia" w:ascii="宋体" w:hAnsi="宋体" w:cs="宋体"/>
                <w:color w:val="auto"/>
                <w:sz w:val="21"/>
                <w:szCs w:val="21"/>
                <w:highlight w:val="none"/>
                <w:lang w:val="en-US" w:eastAsia="zh-CN"/>
              </w:rPr>
              <w:t>8-10</w:t>
            </w:r>
            <w:r>
              <w:rPr>
                <w:rFonts w:hint="eastAsia" w:ascii="宋体" w:hAnsi="宋体" w:eastAsia="宋体" w:cs="宋体"/>
                <w:color w:val="auto"/>
                <w:sz w:val="21"/>
                <w:szCs w:val="21"/>
                <w:highlight w:val="none"/>
                <w:lang w:val="en-US" w:eastAsia="zh-CN"/>
              </w:rPr>
              <w:t>分；</w:t>
            </w:r>
          </w:p>
          <w:p w14:paraId="10933F69">
            <w:pPr>
              <w:numPr>
                <w:ilvl w:val="0"/>
                <w:numId w:val="0"/>
              </w:numPr>
              <w:ind w:lef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2、方案完整、与项目匹配度较好的，得</w:t>
            </w:r>
            <w:r>
              <w:rPr>
                <w:rFonts w:hint="eastAsia" w:ascii="宋体" w:hAnsi="宋体" w:cs="宋体"/>
                <w:color w:val="auto"/>
                <w:sz w:val="21"/>
                <w:szCs w:val="21"/>
                <w:highlight w:val="none"/>
                <w:lang w:val="en-US" w:eastAsia="zh-CN"/>
              </w:rPr>
              <w:t>4-7</w:t>
            </w:r>
            <w:r>
              <w:rPr>
                <w:rFonts w:hint="eastAsia" w:ascii="宋体" w:hAnsi="宋体" w:eastAsia="宋体" w:cs="宋体"/>
                <w:color w:val="auto"/>
                <w:sz w:val="21"/>
                <w:szCs w:val="21"/>
                <w:highlight w:val="none"/>
                <w:lang w:val="en-US" w:eastAsia="zh-CN"/>
              </w:rPr>
              <w:t>分；</w:t>
            </w:r>
          </w:p>
          <w:p w14:paraId="2041CB6C">
            <w:pPr>
              <w:numPr>
                <w:ilvl w:val="0"/>
                <w:numId w:val="0"/>
              </w:numPr>
              <w:ind w:leftChars="0"/>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3、方案内容有待完善的，得</w:t>
            </w:r>
            <w:r>
              <w:rPr>
                <w:rFonts w:hint="eastAsia" w:ascii="宋体" w:hAnsi="宋体" w:cs="宋体"/>
                <w:color w:val="auto"/>
                <w:sz w:val="21"/>
                <w:szCs w:val="21"/>
                <w:highlight w:val="none"/>
                <w:lang w:val="en-US" w:eastAsia="zh-CN"/>
              </w:rPr>
              <w:t>1-3</w:t>
            </w:r>
            <w:r>
              <w:rPr>
                <w:rFonts w:hint="eastAsia" w:ascii="宋体" w:hAnsi="宋体" w:eastAsia="宋体" w:cs="宋体"/>
                <w:color w:val="auto"/>
                <w:sz w:val="21"/>
                <w:szCs w:val="21"/>
                <w:highlight w:val="none"/>
                <w:lang w:val="en-US" w:eastAsia="zh-CN"/>
              </w:rPr>
              <w:t>分；</w:t>
            </w:r>
          </w:p>
        </w:tc>
        <w:tc>
          <w:tcPr>
            <w:tcW w:w="1326" w:type="dxa"/>
            <w:noWrap w:val="0"/>
            <w:vAlign w:val="center"/>
          </w:tcPr>
          <w:p w14:paraId="36D2FE00">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0-10分</w:t>
            </w:r>
          </w:p>
        </w:tc>
      </w:tr>
      <w:tr w14:paraId="55E9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3" w:hRule="atLeast"/>
        </w:trPr>
        <w:tc>
          <w:tcPr>
            <w:tcW w:w="604" w:type="dxa"/>
            <w:vMerge w:val="continue"/>
            <w:tcBorders/>
            <w:noWrap w:val="0"/>
            <w:vAlign w:val="center"/>
          </w:tcPr>
          <w:p w14:paraId="636F0FB2">
            <w:pPr>
              <w:jc w:val="center"/>
              <w:rPr>
                <w:rFonts w:hint="eastAsia" w:ascii="宋体" w:hAnsi="宋体" w:cs="宋体"/>
                <w:color w:val="auto"/>
                <w:sz w:val="21"/>
                <w:szCs w:val="21"/>
                <w:highlight w:val="none"/>
                <w:lang w:val="en-US" w:eastAsia="zh-CN"/>
              </w:rPr>
            </w:pPr>
          </w:p>
        </w:tc>
        <w:tc>
          <w:tcPr>
            <w:tcW w:w="1200" w:type="dxa"/>
            <w:vMerge w:val="continue"/>
            <w:tcBorders/>
            <w:noWrap w:val="0"/>
            <w:vAlign w:val="center"/>
          </w:tcPr>
          <w:p w14:paraId="08FFB0A9">
            <w:pPr>
              <w:numPr>
                <w:ilvl w:val="0"/>
                <w:numId w:val="0"/>
              </w:numPr>
              <w:ind w:leftChars="0"/>
              <w:rPr>
                <w:rFonts w:hint="eastAsia" w:ascii="宋体" w:hAnsi="宋体" w:cs="宋体"/>
                <w:sz w:val="21"/>
                <w:szCs w:val="21"/>
                <w:highlight w:val="none"/>
                <w:lang w:val="en-US" w:eastAsia="zh-CN"/>
              </w:rPr>
            </w:pPr>
          </w:p>
        </w:tc>
        <w:tc>
          <w:tcPr>
            <w:tcW w:w="1099" w:type="dxa"/>
            <w:shd w:val="clear" w:color="auto" w:fill="auto"/>
            <w:noWrap w:val="0"/>
            <w:vAlign w:val="center"/>
          </w:tcPr>
          <w:p w14:paraId="1A1847D0">
            <w:pPr>
              <w:numPr>
                <w:ilvl w:val="0"/>
                <w:numId w:val="0"/>
              </w:numPr>
              <w:ind w:left="0" w:leftChars="0" w:firstLine="0" w:firstLineChars="0"/>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投标人</w:t>
            </w:r>
          </w:p>
          <w:p w14:paraId="27A89421">
            <w:pPr>
              <w:numPr>
                <w:ilvl w:val="0"/>
                <w:numId w:val="0"/>
              </w:numPr>
              <w:ind w:left="0" w:leftChars="0" w:firstLine="0" w:firstLineChars="0"/>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业绩</w:t>
            </w:r>
          </w:p>
        </w:tc>
        <w:tc>
          <w:tcPr>
            <w:tcW w:w="5205" w:type="dxa"/>
            <w:shd w:val="clear" w:color="auto" w:fill="auto"/>
            <w:noWrap w:val="0"/>
            <w:vAlign w:val="center"/>
          </w:tcPr>
          <w:p w14:paraId="3865F8A3">
            <w:pPr>
              <w:numPr>
                <w:ilvl w:val="0"/>
                <w:numId w:val="0"/>
              </w:numPr>
              <w:ind w:leftChars="0"/>
              <w:rPr>
                <w:rFonts w:hint="eastAsia" w:ascii="宋体" w:hAnsi="宋体" w:eastAsia="宋体" w:cs="宋体"/>
                <w:color w:val="auto"/>
                <w:sz w:val="21"/>
                <w:szCs w:val="21"/>
                <w:highlight w:val="none"/>
                <w:lang w:val="en-US" w:eastAsia="zh-CN"/>
              </w:rPr>
            </w:pPr>
            <w:r>
              <w:rPr>
                <w:rFonts w:hint="eastAsia" w:ascii="宋体" w:hAnsi="宋体" w:eastAsia="宋体" w:cs="宋体"/>
                <w:color w:val="FF0000"/>
                <w:sz w:val="21"/>
                <w:szCs w:val="21"/>
                <w:highlight w:val="none"/>
                <w:lang w:val="en-US" w:eastAsia="zh-CN"/>
              </w:rPr>
              <w:t>自202</w:t>
            </w:r>
            <w:r>
              <w:rPr>
                <w:rFonts w:hint="eastAsia" w:ascii="宋体" w:hAnsi="宋体" w:cs="宋体"/>
                <w:color w:val="FF0000"/>
                <w:sz w:val="21"/>
                <w:szCs w:val="21"/>
                <w:highlight w:val="none"/>
                <w:lang w:val="en-US" w:eastAsia="zh-CN"/>
              </w:rPr>
              <w:t>3</w:t>
            </w:r>
            <w:r>
              <w:rPr>
                <w:rFonts w:hint="eastAsia" w:ascii="宋体" w:hAnsi="宋体" w:eastAsia="宋体" w:cs="宋体"/>
                <w:color w:val="FF0000"/>
                <w:sz w:val="21"/>
                <w:szCs w:val="21"/>
                <w:highlight w:val="none"/>
                <w:lang w:val="en-US" w:eastAsia="zh-CN"/>
              </w:rPr>
              <w:t>年1月1日以来</w:t>
            </w:r>
            <w:r>
              <w:rPr>
                <w:rFonts w:hint="eastAsia" w:ascii="宋体" w:hAnsi="宋体" w:eastAsia="宋体" w:cs="宋体"/>
                <w:color w:val="auto"/>
                <w:sz w:val="21"/>
                <w:szCs w:val="21"/>
                <w:highlight w:val="none"/>
                <w:lang w:val="en-US" w:eastAsia="zh-CN"/>
              </w:rPr>
              <w:t>(以合同签订日期为准），投标人具有硅PU篮球场设施安装(或施工)项目业绩，每提供一个业绩得5分，最多得10分。</w:t>
            </w:r>
          </w:p>
          <w:p w14:paraId="428D193A">
            <w:pPr>
              <w:numPr>
                <w:ilvl w:val="0"/>
                <w:numId w:val="0"/>
              </w:numPr>
              <w:ind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注：上述业绩为已履约完成项目业绩。投标文件中同时提供业绩合同以及与该业绩对应的项目已履约完成证明材料（如验收报告或业主（或合同甲方）证明）扫描件。如上述证明材料中无法体现服务内容、签订时间等关键评审内容的，须另附业主单位（或合同甲方）加盖公章的证明材料加以证明，否则不得分。</w:t>
            </w:r>
          </w:p>
        </w:tc>
        <w:tc>
          <w:tcPr>
            <w:tcW w:w="1326" w:type="dxa"/>
            <w:noWrap w:val="0"/>
            <w:vAlign w:val="center"/>
          </w:tcPr>
          <w:p w14:paraId="4CB9224B">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0-10分</w:t>
            </w:r>
          </w:p>
        </w:tc>
      </w:tr>
      <w:tr w14:paraId="14EF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604" w:type="dxa"/>
            <w:vMerge w:val="continue"/>
            <w:tcBorders/>
            <w:noWrap w:val="0"/>
            <w:vAlign w:val="center"/>
          </w:tcPr>
          <w:p w14:paraId="4EB51985">
            <w:pPr>
              <w:jc w:val="center"/>
              <w:rPr>
                <w:rFonts w:hint="default" w:ascii="宋体" w:hAnsi="宋体" w:cs="宋体"/>
                <w:color w:val="auto"/>
                <w:sz w:val="21"/>
                <w:szCs w:val="21"/>
                <w:highlight w:val="none"/>
                <w:lang w:val="en-US" w:eastAsia="zh-CN"/>
              </w:rPr>
            </w:pPr>
          </w:p>
        </w:tc>
        <w:tc>
          <w:tcPr>
            <w:tcW w:w="1200" w:type="dxa"/>
            <w:vMerge w:val="continue"/>
            <w:tcBorders/>
            <w:noWrap w:val="0"/>
            <w:vAlign w:val="center"/>
          </w:tcPr>
          <w:p w14:paraId="082ED67F">
            <w:pPr>
              <w:spacing w:line="320" w:lineRule="exact"/>
              <w:jc w:val="center"/>
              <w:rPr>
                <w:rFonts w:hint="eastAsia" w:ascii="宋体" w:hAnsi="宋体" w:eastAsia="宋体" w:cs="宋体"/>
                <w:color w:val="auto"/>
                <w:kern w:val="2"/>
                <w:sz w:val="21"/>
                <w:szCs w:val="21"/>
                <w:highlight w:val="none"/>
                <w:lang w:val="en-US" w:eastAsia="zh-CN" w:bidi="ar-SA"/>
              </w:rPr>
            </w:pPr>
          </w:p>
        </w:tc>
        <w:tc>
          <w:tcPr>
            <w:tcW w:w="1099" w:type="dxa"/>
            <w:noWrap w:val="0"/>
            <w:vAlign w:val="center"/>
          </w:tcPr>
          <w:p w14:paraId="659139A9">
            <w:pPr>
              <w:spacing w:line="32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综合实力</w:t>
            </w:r>
          </w:p>
        </w:tc>
        <w:tc>
          <w:tcPr>
            <w:tcW w:w="5205" w:type="dxa"/>
            <w:noWrap w:val="0"/>
            <w:vAlign w:val="center"/>
          </w:tcPr>
          <w:p w14:paraId="57AAABED">
            <w:pPr>
              <w:numPr>
                <w:ilvl w:val="0"/>
                <w:numId w:val="0"/>
              </w:numPr>
              <w:ind w:lef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1、所投硅PU球场材料具有中国环保产品认证证书的，得4分；</w:t>
            </w:r>
          </w:p>
          <w:p w14:paraId="32CCE12B">
            <w:pPr>
              <w:numPr>
                <w:ilvl w:val="0"/>
                <w:numId w:val="0"/>
              </w:numPr>
              <w:ind w:lef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2、所投硅 PU 材料为绿色建筑选用产品的，得3分；</w:t>
            </w:r>
          </w:p>
          <w:p w14:paraId="16B2620C">
            <w:pPr>
              <w:numPr>
                <w:ilvl w:val="0"/>
                <w:numId w:val="0"/>
              </w:numPr>
              <w:ind w:lef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3、所投硅 PU 材料具有健康建材、环保建材商标证书的，得3分；</w:t>
            </w:r>
          </w:p>
          <w:p w14:paraId="3E6B3869">
            <w:pPr>
              <w:numPr>
                <w:ilvl w:val="0"/>
                <w:numId w:val="0"/>
              </w:numPr>
              <w:ind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注：投标文件中提供以上证书或者证明材料扫描件。</w:t>
            </w:r>
          </w:p>
        </w:tc>
        <w:tc>
          <w:tcPr>
            <w:tcW w:w="1326" w:type="dxa"/>
            <w:noWrap w:val="0"/>
            <w:vAlign w:val="center"/>
          </w:tcPr>
          <w:p w14:paraId="0803E0A1">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0-10分</w:t>
            </w:r>
          </w:p>
        </w:tc>
      </w:tr>
      <w:tr w14:paraId="5DF9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604" w:type="dxa"/>
            <w:noWrap w:val="0"/>
            <w:vAlign w:val="center"/>
          </w:tcPr>
          <w:p w14:paraId="0404E695">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2</w:t>
            </w:r>
          </w:p>
        </w:tc>
        <w:tc>
          <w:tcPr>
            <w:tcW w:w="2299" w:type="dxa"/>
            <w:gridSpan w:val="2"/>
            <w:noWrap w:val="0"/>
            <w:vAlign w:val="center"/>
          </w:tcPr>
          <w:p w14:paraId="59B843D8">
            <w:pPr>
              <w:spacing w:line="32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sz w:val="21"/>
                <w:szCs w:val="21"/>
                <w:highlight w:val="none"/>
                <w:lang w:val="en-US" w:eastAsia="zh-CN"/>
              </w:rPr>
              <w:t>价格分</w:t>
            </w:r>
          </w:p>
        </w:tc>
        <w:tc>
          <w:tcPr>
            <w:tcW w:w="5205" w:type="dxa"/>
            <w:noWrap w:val="0"/>
            <w:vAlign w:val="center"/>
          </w:tcPr>
          <w:p w14:paraId="1E5F1355">
            <w:pPr>
              <w:numPr>
                <w:ilvl w:val="0"/>
                <w:numId w:val="0"/>
              </w:numPr>
              <w:ind w:lef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报价采用满足采购文件要求且投标价格最低的有效投标报价为评标基准价，其价格分为满分10分。</w:t>
            </w:r>
          </w:p>
          <w:p w14:paraId="0A48F425">
            <w:pPr>
              <w:numPr>
                <w:ilvl w:val="0"/>
                <w:numId w:val="0"/>
              </w:numPr>
              <w:ind w:lef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经评审委员会认定投标报价明显低于成本价或市场价的，有可能影响所投产品质量或者不能诚信履约的，应当要求其在评标现场合理的时间内提供书面说明，必要时提交相关证明材料；供应商在规定时间内不能证明其报价合理性的，评审委员会应当将其作为无效响应处理）</w:t>
            </w:r>
          </w:p>
          <w:p w14:paraId="34F9A81F">
            <w:pPr>
              <w:numPr>
                <w:ilvl w:val="0"/>
                <w:numId w:val="0"/>
              </w:numPr>
              <w:ind w:lef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其他供应商的价格分统一按照下列公式计算：</w:t>
            </w:r>
          </w:p>
          <w:p w14:paraId="2B8E9910">
            <w:pPr>
              <w:numPr>
                <w:ilvl w:val="0"/>
                <w:numId w:val="0"/>
              </w:numPr>
              <w:ind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投标报价得分=（评标基准价/投标报价）×10（保留到小数点后两位）</w:t>
            </w:r>
          </w:p>
        </w:tc>
        <w:tc>
          <w:tcPr>
            <w:tcW w:w="1326" w:type="dxa"/>
            <w:noWrap w:val="0"/>
            <w:vAlign w:val="center"/>
          </w:tcPr>
          <w:p w14:paraId="59CF400D">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4"/>
                <w:highlight w:val="none"/>
                <w:lang w:val="en-US" w:eastAsia="zh-CN"/>
              </w:rPr>
              <w:t>0-1</w:t>
            </w:r>
            <w:r>
              <w:rPr>
                <w:rFonts w:hint="eastAsia" w:ascii="宋体" w:hAnsi="宋体" w:cs="宋体"/>
                <w:color w:val="auto"/>
                <w:sz w:val="24"/>
                <w:highlight w:val="none"/>
              </w:rPr>
              <w:t>0分</w:t>
            </w:r>
          </w:p>
        </w:tc>
      </w:tr>
    </w:tbl>
    <w:p w14:paraId="1AF9D205">
      <w:pPr>
        <w:rPr>
          <w:sz w:val="21"/>
          <w:szCs w:val="21"/>
        </w:rPr>
      </w:pPr>
    </w:p>
    <w:p w14:paraId="2E134A9E">
      <w:pPr>
        <w:rPr>
          <w:sz w:val="21"/>
          <w:szCs w:val="21"/>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64D4F3"/>
    <w:multiLevelType w:val="singleLevel"/>
    <w:tmpl w:val="4764D4F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9B1A6F"/>
    <w:rsid w:val="011E0236"/>
    <w:rsid w:val="019E3125"/>
    <w:rsid w:val="04051239"/>
    <w:rsid w:val="040A684F"/>
    <w:rsid w:val="055661F0"/>
    <w:rsid w:val="05F477B7"/>
    <w:rsid w:val="061834A6"/>
    <w:rsid w:val="077E37DC"/>
    <w:rsid w:val="07BE190A"/>
    <w:rsid w:val="07CD4764"/>
    <w:rsid w:val="0B136931"/>
    <w:rsid w:val="0B372620"/>
    <w:rsid w:val="0EF30E7F"/>
    <w:rsid w:val="0F0767AD"/>
    <w:rsid w:val="0FC85F3C"/>
    <w:rsid w:val="0FDC5544"/>
    <w:rsid w:val="13201BEB"/>
    <w:rsid w:val="145002AE"/>
    <w:rsid w:val="14627FE2"/>
    <w:rsid w:val="14D42C8D"/>
    <w:rsid w:val="176D73C9"/>
    <w:rsid w:val="17B1329E"/>
    <w:rsid w:val="1820443C"/>
    <w:rsid w:val="1A676352"/>
    <w:rsid w:val="1B612DA1"/>
    <w:rsid w:val="1B8C2514"/>
    <w:rsid w:val="1DBB0E8E"/>
    <w:rsid w:val="1EC43D73"/>
    <w:rsid w:val="1EE878A2"/>
    <w:rsid w:val="1EF90164"/>
    <w:rsid w:val="20511636"/>
    <w:rsid w:val="21AE4866"/>
    <w:rsid w:val="234611FA"/>
    <w:rsid w:val="23E427C1"/>
    <w:rsid w:val="25867FD4"/>
    <w:rsid w:val="267A740D"/>
    <w:rsid w:val="26D1527F"/>
    <w:rsid w:val="27EC60E8"/>
    <w:rsid w:val="2A043BBD"/>
    <w:rsid w:val="2CF2574F"/>
    <w:rsid w:val="2E8A3DE3"/>
    <w:rsid w:val="2F3E547B"/>
    <w:rsid w:val="2F612EE9"/>
    <w:rsid w:val="30987F2A"/>
    <w:rsid w:val="31332223"/>
    <w:rsid w:val="32881493"/>
    <w:rsid w:val="33D939C5"/>
    <w:rsid w:val="361C40B3"/>
    <w:rsid w:val="362178A5"/>
    <w:rsid w:val="368C11C2"/>
    <w:rsid w:val="37D90437"/>
    <w:rsid w:val="37F05781"/>
    <w:rsid w:val="393328E5"/>
    <w:rsid w:val="3A00251E"/>
    <w:rsid w:val="3AF630AE"/>
    <w:rsid w:val="3B3B4F65"/>
    <w:rsid w:val="3C6A5B02"/>
    <w:rsid w:val="441F5424"/>
    <w:rsid w:val="45A81449"/>
    <w:rsid w:val="46C027C2"/>
    <w:rsid w:val="472965B9"/>
    <w:rsid w:val="48DD51B6"/>
    <w:rsid w:val="4AC9433B"/>
    <w:rsid w:val="4AEE78FE"/>
    <w:rsid w:val="4B8B15F1"/>
    <w:rsid w:val="4E395334"/>
    <w:rsid w:val="4F276AF0"/>
    <w:rsid w:val="50FA629D"/>
    <w:rsid w:val="52081BED"/>
    <w:rsid w:val="522B768A"/>
    <w:rsid w:val="522D51B0"/>
    <w:rsid w:val="529B1A6F"/>
    <w:rsid w:val="534C78B7"/>
    <w:rsid w:val="53F71F19"/>
    <w:rsid w:val="55674E7D"/>
    <w:rsid w:val="55A97243"/>
    <w:rsid w:val="569E667C"/>
    <w:rsid w:val="579B705F"/>
    <w:rsid w:val="585B059D"/>
    <w:rsid w:val="58A445E3"/>
    <w:rsid w:val="58DB0CEB"/>
    <w:rsid w:val="5DE54B90"/>
    <w:rsid w:val="604F09E7"/>
    <w:rsid w:val="61330309"/>
    <w:rsid w:val="615E35D8"/>
    <w:rsid w:val="61D2367E"/>
    <w:rsid w:val="63185A08"/>
    <w:rsid w:val="64D616D7"/>
    <w:rsid w:val="678A24C7"/>
    <w:rsid w:val="697D4817"/>
    <w:rsid w:val="69A9560C"/>
    <w:rsid w:val="6B6932A5"/>
    <w:rsid w:val="6CAE7C56"/>
    <w:rsid w:val="6D084742"/>
    <w:rsid w:val="71600CA6"/>
    <w:rsid w:val="74856C75"/>
    <w:rsid w:val="74E4399C"/>
    <w:rsid w:val="75F53987"/>
    <w:rsid w:val="774E15A1"/>
    <w:rsid w:val="77E37F3B"/>
    <w:rsid w:val="79492020"/>
    <w:rsid w:val="7AF13F3A"/>
    <w:rsid w:val="7AFE32DE"/>
    <w:rsid w:val="7BDA3403"/>
    <w:rsid w:val="7E737554"/>
    <w:rsid w:val="7ED54355"/>
    <w:rsid w:val="7EEC1D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paragraph" w:styleId="5">
    <w:name w:val="List Paragraph"/>
    <w:basedOn w:val="1"/>
    <w:qFormat/>
    <w:uiPriority w:val="99"/>
    <w:pPr>
      <w:ind w:firstLine="420" w:firstLineChars="200"/>
    </w:pPr>
  </w:style>
  <w:style w:type="paragraph" w:customStyle="1" w:styleId="6">
    <w:name w:val="Table Paragraph"/>
    <w:basedOn w:val="1"/>
    <w:unhideWhenUsed/>
    <w:qFormat/>
    <w:uiPriority w:val="1"/>
    <w:pPr>
      <w:spacing w:beforeLines="0" w:afterLines="0"/>
    </w:pPr>
    <w:rPr>
      <w:rFonts w:hint="eastAsia"/>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1765</Words>
  <Characters>1932</Characters>
  <Lines>0</Lines>
  <Paragraphs>0</Paragraphs>
  <TotalTime>5</TotalTime>
  <ScaleCrop>false</ScaleCrop>
  <LinksUpToDate>false</LinksUpToDate>
  <CharactersWithSpaces>1967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2026-08-02T08:19:00Z</dcterms:created>
  <dc:creator>郑浩</dc:creator>
  <cp:lastModifiedBy>龙猫</cp:lastModifiedBy>
  <dcterms:modified xsi:type="dcterms:W3CDTF">2026-08-05T14:07:50Z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2445CB560666485D804485F6C23F6CFF_11</vt:lpwstr>
  </property>
  <property fmtid="{D5CDD505-2E9C-101B-9397-08002B2CF9AE}" pid="4" name="KSOTemplateDocerSaveRecord">
    <vt:lpwstr>eyJoZGlkIjoiMzc5Y2Y5MjRkOWViNmFmMTRhNmM1MDEyZDEzNThmYjkiLCJ1c2VySWQiOiIyNzI0Mjc2MDkifQ==</vt:lpwstr>
  </property>
</Properties>
</file>