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4B9E">
      <w:pPr>
        <w:numPr>
          <w:ilvl w:val="0"/>
          <w:numId w:val="0"/>
        </w:numPr>
        <w:ind w:firstLine="2800" w:firstLineChars="1000"/>
        <w:jc w:val="center"/>
        <w:rPr>
          <w:rStyle w:val="7"/>
          <w:rFonts w:hint="eastAsia" w:ascii="黑体" w:hAnsi="黑体" w:eastAsia="黑体" w:cs="黑体"/>
          <w:color w:val="auto"/>
          <w:sz w:val="28"/>
          <w:szCs w:val="28"/>
          <w:highlight w:val="none"/>
          <w:u w:val="none"/>
        </w:rPr>
      </w:pPr>
      <w:bookmarkStart w:id="0" w:name="_GoBack"/>
      <w:r>
        <w:rPr>
          <w:rStyle w:val="7"/>
          <w:rFonts w:hint="eastAsia" w:ascii="黑体" w:hAnsi="黑体" w:eastAsia="黑体" w:cs="黑体"/>
          <w:color w:val="auto"/>
          <w:sz w:val="28"/>
          <w:szCs w:val="28"/>
          <w:highlight w:val="none"/>
          <w:u w:val="none"/>
        </w:rPr>
        <w:t>评审标准</w:t>
      </w:r>
    </w:p>
    <w:bookmarkEnd w:id="0"/>
    <w:tbl>
      <w:tblPr>
        <w:tblStyle w:val="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8"/>
        <w:gridCol w:w="756"/>
        <w:gridCol w:w="2029"/>
        <w:gridCol w:w="932"/>
        <w:gridCol w:w="3982"/>
      </w:tblGrid>
      <w:tr w14:paraId="3B832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4" w:type="pct"/>
            <w:gridSpan w:val="2"/>
            <w:tcBorders>
              <w:top w:val="single" w:color="auto" w:sz="4" w:space="0"/>
              <w:bottom w:val="single" w:color="auto" w:sz="4" w:space="0"/>
              <w:right w:val="single" w:color="auto" w:sz="4" w:space="0"/>
            </w:tcBorders>
            <w:noWrap w:val="0"/>
            <w:vAlign w:val="center"/>
          </w:tcPr>
          <w:p w14:paraId="67EE4779">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条款号</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73504D3A">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评审因素</w:t>
            </w:r>
          </w:p>
        </w:tc>
        <w:tc>
          <w:tcPr>
            <w:tcW w:w="2884" w:type="pct"/>
            <w:gridSpan w:val="2"/>
            <w:tcBorders>
              <w:top w:val="single" w:color="auto" w:sz="4" w:space="0"/>
              <w:left w:val="single" w:color="auto" w:sz="4" w:space="0"/>
              <w:bottom w:val="single" w:color="auto" w:sz="4" w:space="0"/>
              <w:right w:val="single" w:color="auto" w:sz="4" w:space="0"/>
            </w:tcBorders>
            <w:noWrap w:val="0"/>
            <w:vAlign w:val="center"/>
          </w:tcPr>
          <w:p w14:paraId="5FA588D8">
            <w:pPr>
              <w:spacing w:line="440" w:lineRule="exact"/>
              <w:jc w:val="center"/>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评审标准</w:t>
            </w:r>
          </w:p>
        </w:tc>
      </w:tr>
      <w:tr w14:paraId="6B884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restart"/>
            <w:tcBorders>
              <w:top w:val="single" w:color="auto" w:sz="4" w:space="0"/>
              <w:right w:val="single" w:color="auto" w:sz="4" w:space="0"/>
            </w:tcBorders>
            <w:noWrap w:val="0"/>
            <w:vAlign w:val="center"/>
          </w:tcPr>
          <w:p w14:paraId="5F7D7063">
            <w:pPr>
              <w:spacing w:line="440" w:lineRule="exact"/>
              <w:jc w:val="center"/>
              <w:rPr>
                <w:rFonts w:hint="eastAsia" w:ascii="Times New Roman" w:hAnsi="Times New Roman" w:cs="宋体"/>
                <w:color w:val="auto"/>
                <w:sz w:val="24"/>
                <w:szCs w:val="24"/>
                <w:highlight w:val="none"/>
                <w:lang w:val="en-US" w:eastAsia="zh-CN"/>
              </w:rPr>
            </w:pPr>
          </w:p>
          <w:p w14:paraId="46025848">
            <w:pPr>
              <w:spacing w:line="440" w:lineRule="exact"/>
              <w:jc w:val="center"/>
              <w:rPr>
                <w:rFonts w:hint="eastAsia" w:ascii="Times New Roman" w:hAnsi="Times New Roman" w:cs="宋体"/>
                <w:color w:val="auto"/>
                <w:sz w:val="24"/>
                <w:szCs w:val="24"/>
                <w:highlight w:val="none"/>
                <w:lang w:val="en-US" w:eastAsia="zh-CN"/>
              </w:rPr>
            </w:pPr>
          </w:p>
          <w:p w14:paraId="080DEF8E">
            <w:pPr>
              <w:spacing w:line="440" w:lineRule="exact"/>
              <w:jc w:val="center"/>
              <w:rPr>
                <w:rFonts w:hint="eastAsia" w:ascii="Times New Roman" w:hAnsi="Times New Roman" w:cs="宋体"/>
                <w:color w:val="auto"/>
                <w:sz w:val="24"/>
                <w:szCs w:val="24"/>
                <w:highlight w:val="none"/>
                <w:lang w:val="en-US" w:eastAsia="zh-CN"/>
              </w:rPr>
            </w:pPr>
          </w:p>
          <w:p w14:paraId="5A6806D0">
            <w:pPr>
              <w:spacing w:line="440" w:lineRule="exact"/>
              <w:jc w:val="center"/>
              <w:rPr>
                <w:rFonts w:hint="eastAsia" w:ascii="Times New Roman" w:hAnsi="Times New Roman" w:cs="宋体"/>
                <w:color w:val="auto"/>
                <w:sz w:val="24"/>
                <w:szCs w:val="24"/>
                <w:highlight w:val="none"/>
                <w:lang w:val="en-US" w:eastAsia="zh-CN"/>
              </w:rPr>
            </w:pPr>
          </w:p>
          <w:p w14:paraId="15EDFA13">
            <w:pPr>
              <w:spacing w:line="440" w:lineRule="exact"/>
              <w:jc w:val="center"/>
              <w:rPr>
                <w:rFonts w:hint="eastAsia" w:ascii="Times New Roman" w:hAnsi="Times New Roman" w:cs="宋体"/>
                <w:color w:val="auto"/>
                <w:sz w:val="24"/>
                <w:szCs w:val="24"/>
                <w:highlight w:val="none"/>
                <w:lang w:val="en-US" w:eastAsia="zh-CN"/>
              </w:rPr>
            </w:pPr>
          </w:p>
          <w:p w14:paraId="0C06B1A3">
            <w:pPr>
              <w:spacing w:line="440" w:lineRule="exact"/>
              <w:jc w:val="center"/>
              <w:rPr>
                <w:rFonts w:hint="eastAsia" w:ascii="Times New Roman" w:hAnsi="Times New Roman" w:cs="宋体"/>
                <w:color w:val="auto"/>
                <w:sz w:val="24"/>
                <w:szCs w:val="24"/>
                <w:highlight w:val="none"/>
                <w:lang w:val="en-US" w:eastAsia="zh-CN"/>
              </w:rPr>
            </w:pPr>
          </w:p>
          <w:p w14:paraId="0A50A8F8">
            <w:pPr>
              <w:spacing w:line="440" w:lineRule="exact"/>
              <w:jc w:val="center"/>
              <w:rPr>
                <w:rFonts w:hint="eastAsia" w:ascii="Times New Roman" w:hAnsi="Times New Roman" w:cs="宋体"/>
                <w:color w:val="auto"/>
                <w:sz w:val="24"/>
                <w:szCs w:val="24"/>
                <w:highlight w:val="none"/>
                <w:lang w:val="en-US" w:eastAsia="zh-CN"/>
              </w:rPr>
            </w:pPr>
          </w:p>
          <w:p w14:paraId="135662B5">
            <w:pPr>
              <w:spacing w:line="440" w:lineRule="exact"/>
              <w:jc w:val="center"/>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val="en-US" w:eastAsia="zh-CN"/>
              </w:rPr>
              <w:t>1</w:t>
            </w:r>
          </w:p>
        </w:tc>
        <w:tc>
          <w:tcPr>
            <w:tcW w:w="443" w:type="pct"/>
            <w:vMerge w:val="restart"/>
            <w:tcBorders>
              <w:top w:val="single" w:color="auto" w:sz="4" w:space="0"/>
              <w:right w:val="single" w:color="auto" w:sz="4" w:space="0"/>
            </w:tcBorders>
            <w:noWrap w:val="0"/>
            <w:vAlign w:val="center"/>
          </w:tcPr>
          <w:p w14:paraId="75D440AA">
            <w:pPr>
              <w:spacing w:line="440" w:lineRule="exact"/>
              <w:jc w:val="center"/>
              <w:rPr>
                <w:rFonts w:hint="eastAsia" w:ascii="Times New Roman" w:hAnsi="Times New Roman" w:eastAsia="宋体" w:cs="宋体"/>
                <w:color w:val="auto"/>
                <w:sz w:val="24"/>
                <w:szCs w:val="24"/>
                <w:highlight w:val="none"/>
              </w:rPr>
            </w:pPr>
          </w:p>
          <w:p w14:paraId="09BC43A9">
            <w:pPr>
              <w:spacing w:line="440" w:lineRule="exact"/>
              <w:jc w:val="center"/>
              <w:rPr>
                <w:rFonts w:hint="eastAsia" w:ascii="Times New Roman" w:hAnsi="Times New Roman" w:eastAsia="宋体" w:cs="宋体"/>
                <w:color w:val="auto"/>
                <w:sz w:val="24"/>
                <w:szCs w:val="24"/>
                <w:highlight w:val="none"/>
              </w:rPr>
            </w:pPr>
          </w:p>
          <w:p w14:paraId="29EE92B9">
            <w:pPr>
              <w:spacing w:line="440" w:lineRule="exact"/>
              <w:jc w:val="center"/>
              <w:rPr>
                <w:rFonts w:hint="eastAsia" w:ascii="Times New Roman" w:hAnsi="Times New Roman" w:eastAsia="宋体" w:cs="宋体"/>
                <w:color w:val="auto"/>
                <w:sz w:val="24"/>
                <w:szCs w:val="24"/>
                <w:highlight w:val="none"/>
              </w:rPr>
            </w:pPr>
          </w:p>
          <w:p w14:paraId="11370445">
            <w:pPr>
              <w:spacing w:line="440" w:lineRule="exact"/>
              <w:jc w:val="center"/>
              <w:rPr>
                <w:rFonts w:hint="eastAsia" w:ascii="Times New Roman" w:hAnsi="Times New Roman" w:eastAsia="宋体" w:cs="宋体"/>
                <w:color w:val="auto"/>
                <w:sz w:val="24"/>
                <w:szCs w:val="24"/>
                <w:highlight w:val="none"/>
              </w:rPr>
            </w:pPr>
          </w:p>
          <w:p w14:paraId="270B6A50">
            <w:pPr>
              <w:spacing w:line="440" w:lineRule="exact"/>
              <w:jc w:val="center"/>
              <w:rPr>
                <w:rFonts w:hint="eastAsia" w:ascii="Times New Roman" w:hAnsi="Times New Roman" w:eastAsia="宋体" w:cs="宋体"/>
                <w:color w:val="auto"/>
                <w:sz w:val="24"/>
                <w:szCs w:val="24"/>
                <w:highlight w:val="none"/>
              </w:rPr>
            </w:pPr>
          </w:p>
          <w:p w14:paraId="7A063F76">
            <w:pPr>
              <w:spacing w:line="440" w:lineRule="exact"/>
              <w:jc w:val="center"/>
              <w:rPr>
                <w:rFonts w:hint="eastAsia" w:ascii="Times New Roman" w:hAnsi="Times New Roman" w:eastAsia="宋体" w:cs="宋体"/>
                <w:color w:val="auto"/>
                <w:sz w:val="24"/>
                <w:szCs w:val="24"/>
                <w:highlight w:val="none"/>
              </w:rPr>
            </w:pPr>
          </w:p>
          <w:p w14:paraId="7DAD0C76">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技术文件评分标准</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33F8AC83">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检测及监测思路</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3F3F1B9C">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10分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35DB0B99">
            <w:pPr>
              <w:spacing w:line="440" w:lineRule="exact"/>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检测及监测总体思路、方案内容完整性和编制水平。</w:t>
            </w:r>
          </w:p>
          <w:p w14:paraId="3F51D423">
            <w:pPr>
              <w:spacing w:line="440" w:lineRule="exact"/>
              <w:jc w:val="left"/>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优秀的得7＜F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10分,良好的得4＜F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7分，一般得1＜F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4分，没有的不得分。</w:t>
            </w:r>
          </w:p>
        </w:tc>
      </w:tr>
      <w:tr w14:paraId="38025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78638AAA">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70AC5842">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260CA79E">
            <w:pPr>
              <w:spacing w:line="440" w:lineRule="exact"/>
              <w:jc w:val="center"/>
              <w:rPr>
                <w:rFonts w:hint="eastAsia" w:ascii="Times New Roman" w:hAnsi="Times New Roman" w:eastAsia="宋体" w:cs="宋体"/>
                <w:color w:val="auto"/>
                <w:sz w:val="24"/>
                <w:szCs w:val="24"/>
                <w:highlight w:val="none"/>
                <w:lang w:eastAsia="zh-CN"/>
              </w:rPr>
            </w:pPr>
            <w:r>
              <w:rPr>
                <w:rFonts w:ascii="Times New Roman" w:hAnsi="Times New Roman" w:eastAsia="宋体" w:cs="宋体"/>
                <w:color w:val="auto"/>
                <w:sz w:val="24"/>
                <w:szCs w:val="24"/>
                <w:highlight w:val="none"/>
              </w:rPr>
              <w:t>检测仪器、设备配备</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现场实验室方案</w:t>
            </w:r>
            <w:r>
              <w:rPr>
                <w:rFonts w:hint="eastAsia" w:ascii="Times New Roman" w:hAnsi="Times New Roman" w:eastAsia="宋体" w:cs="宋体"/>
                <w:color w:val="auto"/>
                <w:sz w:val="24"/>
                <w:szCs w:val="24"/>
                <w:highlight w:val="none"/>
                <w:lang w:eastAsia="zh-CN"/>
              </w:rPr>
              <w:t>）</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53756174">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10分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0382DFB3">
            <w:pPr>
              <w:spacing w:line="440" w:lineRule="exact"/>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检测及监测仪器设备</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现场实验室</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齐全、并能满足项目需求。</w:t>
            </w:r>
          </w:p>
          <w:p w14:paraId="7A891880">
            <w:pPr>
              <w:spacing w:line="440" w:lineRule="exact"/>
              <w:jc w:val="left"/>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优秀的得7＜F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10分,良好的得4＜F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7分，一般得1＜F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4分，没有的不得分。</w:t>
            </w:r>
          </w:p>
        </w:tc>
      </w:tr>
      <w:tr w14:paraId="5C3AE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5CC4D3B9">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2B061CC1">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4E003CFD">
            <w:pPr>
              <w:spacing w:line="440" w:lineRule="exact"/>
              <w:jc w:val="center"/>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检测及监测方案和技术措施</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CD5F849">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10分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0F3C1694">
            <w:pPr>
              <w:spacing w:line="440" w:lineRule="exact"/>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检测及监测方案技术措施、质量保证措施、安全管理体系与措施、检测及监测重难点分析内容完整性及合理性。</w:t>
            </w:r>
          </w:p>
          <w:p w14:paraId="482C78CA">
            <w:pPr>
              <w:spacing w:line="440" w:lineRule="exact"/>
              <w:jc w:val="left"/>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优秀的得7＜F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10分；良好的得4＜F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7分；一般得1</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4分；未提供，不得分。</w:t>
            </w:r>
          </w:p>
        </w:tc>
      </w:tr>
      <w:tr w14:paraId="4C900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7B51C2A5">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61E67A5F">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3A20F2E4">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检测及监测重难点分析</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19531C03">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10分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701DDEFA">
            <w:pPr>
              <w:spacing w:line="440" w:lineRule="exact"/>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针对本项目特点,对服务过程中的关键内容、重难点进行阐述</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并提出详细的重难关键环节解决方案及控制措施。</w:t>
            </w:r>
          </w:p>
          <w:p w14:paraId="4ED5DEA9">
            <w:pPr>
              <w:spacing w:line="440" w:lineRule="exact"/>
              <w:jc w:val="left"/>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优秀的得7＜F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10分；良好的得4＜F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7分；一般得1</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4分；未提供，不得分。</w:t>
            </w:r>
          </w:p>
        </w:tc>
      </w:tr>
      <w:tr w14:paraId="0D6BF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0" w:type="pct"/>
            <w:vMerge w:val="continue"/>
            <w:tcBorders>
              <w:top w:val="single" w:color="auto" w:sz="4" w:space="0"/>
              <w:right w:val="single" w:color="auto" w:sz="4" w:space="0"/>
            </w:tcBorders>
            <w:noWrap w:val="0"/>
            <w:vAlign w:val="center"/>
          </w:tcPr>
          <w:p w14:paraId="005EB2E5">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5673C0F7">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573EBE1F">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服务承诺</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CA67D82">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10分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72683D3">
            <w:pPr>
              <w:spacing w:line="440" w:lineRule="exac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评委以各投标人作出的服务承诺，以报告提交时间、人员驻场安排、对检测报告承担法律责任、承诺检测工作的真实性、及时性和合法性以及对招标人委派的临时性第四方检测任务，遵守招标人出台的各项管理规定等方面进行综合比较。评标委员会根据投标人提供的相关承诺酌情进行评分：</w:t>
            </w:r>
          </w:p>
          <w:p w14:paraId="5731AFE1">
            <w:pPr>
              <w:spacing w:line="440" w:lineRule="exact"/>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优秀的得7＜F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10分；良好的得4</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F</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7分；一般得1</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F＜4分；未提供，不得分。</w:t>
            </w:r>
          </w:p>
        </w:tc>
      </w:tr>
      <w:tr w14:paraId="6EA68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bottom w:val="single" w:color="auto" w:sz="4" w:space="0"/>
              <w:right w:val="single" w:color="auto" w:sz="4" w:space="0"/>
            </w:tcBorders>
            <w:noWrap w:val="0"/>
            <w:vAlign w:val="center"/>
          </w:tcPr>
          <w:p w14:paraId="449DF025">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bottom w:val="single" w:color="auto" w:sz="4" w:space="0"/>
              <w:right w:val="single" w:color="auto" w:sz="4" w:space="0"/>
            </w:tcBorders>
            <w:noWrap w:val="0"/>
            <w:vAlign w:val="center"/>
          </w:tcPr>
          <w:p w14:paraId="2E7F2C86">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7AAEDC45">
            <w:pPr>
              <w:spacing w:line="440" w:lineRule="exact"/>
              <w:jc w:val="center"/>
              <w:rPr>
                <w:rFonts w:hint="eastAsia" w:ascii="Times New Roman" w:hAnsi="Times New Roman" w:eastAsia="宋体" w:cs="宋体"/>
                <w:color w:val="auto"/>
                <w:sz w:val="24"/>
                <w:szCs w:val="24"/>
                <w:highlight w:val="none"/>
              </w:rPr>
            </w:pPr>
            <w:r>
              <w:rPr>
                <w:rFonts w:hint="eastAsia" w:ascii="宋体" w:hAnsi="宋体" w:eastAsia="宋体" w:cs="宋体"/>
                <w:color w:val="auto"/>
                <w:sz w:val="24"/>
                <w:szCs w:val="24"/>
                <w:highlight w:val="none"/>
              </w:rPr>
              <w:t>便利化服务方案</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56C1D4CA">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4分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12833119">
            <w:pPr>
              <w:spacing w:line="440" w:lineRule="exact"/>
              <w:rPr>
                <w:rFonts w:hint="eastAsia" w:ascii="Times New Roman" w:hAnsi="Times New Roman" w:eastAsia="宋体" w:cs="宋体"/>
                <w:color w:val="auto"/>
                <w:sz w:val="24"/>
                <w:szCs w:val="24"/>
                <w:highlight w:val="none"/>
              </w:rPr>
            </w:pPr>
            <w:r>
              <w:rPr>
                <w:rFonts w:hint="eastAsia" w:ascii="宋体" w:hAnsi="宋体" w:eastAsia="宋体" w:cs="宋体"/>
                <w:color w:val="auto"/>
                <w:sz w:val="24"/>
                <w:szCs w:val="24"/>
                <w:highlight w:val="none"/>
              </w:rPr>
              <w:t>评标委员会根据投标人提供的便利化服务方案综合评分，包括服务的便捷性、响应性及效率性等：优秀得3＜F≤4分；良好得2＜F≤3分；一般得1≤F≤2分；差或未提供的不得分。</w:t>
            </w:r>
          </w:p>
        </w:tc>
      </w:tr>
      <w:tr w14:paraId="4280A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restart"/>
            <w:tcBorders>
              <w:top w:val="single" w:color="auto" w:sz="4" w:space="0"/>
              <w:right w:val="single" w:color="auto" w:sz="4" w:space="0"/>
            </w:tcBorders>
            <w:noWrap w:val="0"/>
            <w:vAlign w:val="center"/>
          </w:tcPr>
          <w:p w14:paraId="2385175E">
            <w:pPr>
              <w:spacing w:line="440" w:lineRule="exact"/>
              <w:jc w:val="center"/>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val="en-US" w:eastAsia="zh-CN"/>
              </w:rPr>
              <w:t>2</w:t>
            </w:r>
          </w:p>
        </w:tc>
        <w:tc>
          <w:tcPr>
            <w:tcW w:w="443" w:type="pct"/>
            <w:vMerge w:val="restart"/>
            <w:tcBorders>
              <w:top w:val="single" w:color="auto" w:sz="4" w:space="0"/>
              <w:right w:val="single" w:color="auto" w:sz="4" w:space="0"/>
            </w:tcBorders>
            <w:noWrap w:val="0"/>
            <w:vAlign w:val="center"/>
          </w:tcPr>
          <w:p w14:paraId="2A456ED2">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商务文件评分标准</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7F7D6E9E">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投标人认证</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589ABF72">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6分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96462FB">
            <w:pPr>
              <w:spacing w:line="440" w:lineRule="exac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投标人具有经中国国家认证认可监督管理委员会认可的认证机构颁发的质量管理体系认证证书、环境管理体系认证证书、职业健康安全管理体系认证证书的，每个得2分，满分</w:t>
            </w:r>
            <w:r>
              <w:rPr>
                <w:rFonts w:hint="eastAsia" w:ascii="Times New Roman" w:hAnsi="Times New Roman" w:eastAsia="宋体" w:cs="宋体"/>
                <w:color w:val="auto"/>
                <w:sz w:val="24"/>
                <w:szCs w:val="24"/>
                <w:highlight w:val="none"/>
                <w:lang w:val="en-US" w:eastAsia="zh-CN"/>
              </w:rPr>
              <w:t>6</w:t>
            </w:r>
            <w:r>
              <w:rPr>
                <w:rFonts w:ascii="Times New Roman" w:hAnsi="Times New Roman" w:eastAsia="宋体" w:cs="宋体"/>
                <w:color w:val="auto"/>
                <w:sz w:val="24"/>
                <w:szCs w:val="24"/>
                <w:highlight w:val="none"/>
              </w:rPr>
              <w:t>分。</w:t>
            </w:r>
          </w:p>
          <w:p w14:paraId="52843C4F">
            <w:pPr>
              <w:spacing w:line="440" w:lineRule="exact"/>
              <w:rPr>
                <w:rFonts w:hint="eastAsia" w:ascii="Times New Roman" w:hAnsi="Times New Roman" w:eastAsia="宋体" w:cs="宋体"/>
                <w:color w:val="auto"/>
                <w:sz w:val="24"/>
                <w:szCs w:val="24"/>
                <w:highlight w:val="none"/>
              </w:rPr>
            </w:pPr>
            <w:r>
              <w:rPr>
                <w:rFonts w:ascii="Times New Roman" w:hAnsi="Times New Roman" w:eastAsia="宋体" w:cs="宋体"/>
                <w:b/>
                <w:bCs/>
                <w:color w:val="auto"/>
                <w:sz w:val="24"/>
                <w:szCs w:val="24"/>
                <w:highlight w:val="none"/>
              </w:rPr>
              <w:t>注：投标文件中提供证书扫描件作为评审依据，证书中应能体现发证机构已获认监委认证或能体现该证书可在认监委网站查询，否则须同时在投标文件中提供在认监委网站对证书发证机构的查询截图作为评审依据。</w:t>
            </w:r>
          </w:p>
        </w:tc>
      </w:tr>
      <w:tr w14:paraId="7C5E5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57D61C26">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01CF4701">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3AD64A19">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投标人业绩</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21A9CC3B">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12分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3F6071CA">
            <w:pPr>
              <w:spacing w:line="440" w:lineRule="exact"/>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202</w:t>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lang w:eastAsia="zh-CN"/>
              </w:rPr>
              <w:t>年1月</w:t>
            </w:r>
            <w:r>
              <w:rPr>
                <w:rFonts w:ascii="Times New Roman" w:hAnsi="Times New Roman" w:eastAsia="宋体" w:cs="宋体"/>
                <w:color w:val="auto"/>
                <w:sz w:val="24"/>
                <w:szCs w:val="24"/>
                <w:highlight w:val="none"/>
              </w:rPr>
              <w:t>1日以来（以合同签订时间为准），</w:t>
            </w:r>
            <w:r>
              <w:rPr>
                <w:rFonts w:hint="eastAsia" w:ascii="Times New Roman" w:hAnsi="Times New Roman" w:eastAsia="宋体" w:cs="宋体"/>
                <w:color w:val="auto"/>
                <w:sz w:val="24"/>
                <w:szCs w:val="24"/>
                <w:highlight w:val="none"/>
              </w:rPr>
              <w:t>投标人具</w:t>
            </w:r>
            <w:r>
              <w:rPr>
                <w:rFonts w:hint="eastAsia" w:ascii="Times New Roman" w:hAnsi="Times New Roman" w:eastAsia="宋体" w:cs="宋体"/>
                <w:color w:val="auto"/>
                <w:sz w:val="24"/>
                <w:szCs w:val="24"/>
                <w:highlight w:val="none"/>
                <w:lang w:eastAsia="zh-CN"/>
              </w:rPr>
              <w:t>有</w:t>
            </w:r>
            <w:r>
              <w:rPr>
                <w:rFonts w:hint="eastAsia" w:ascii="Times New Roman" w:hAnsi="Times New Roman" w:eastAsia="宋体" w:cs="宋体"/>
                <w:color w:val="auto"/>
                <w:sz w:val="24"/>
                <w:szCs w:val="24"/>
                <w:highlight w:val="none"/>
                <w:lang w:val="en-US" w:eastAsia="zh-CN"/>
              </w:rPr>
              <w:t>房屋</w:t>
            </w:r>
            <w:r>
              <w:rPr>
                <w:rFonts w:hint="eastAsia" w:ascii="Times New Roman" w:hAnsi="Times New Roman" w:eastAsia="宋体" w:cs="宋体"/>
                <w:color w:val="auto"/>
                <w:sz w:val="24"/>
                <w:szCs w:val="24"/>
                <w:highlight w:val="none"/>
              </w:rPr>
              <w:t>建筑工程第三方检测业绩（</w:t>
            </w:r>
            <w:r>
              <w:rPr>
                <w:rFonts w:hint="eastAsia" w:ascii="Times New Roman" w:hAnsi="Times New Roman" w:eastAsia="宋体" w:cs="宋体"/>
                <w:color w:val="auto"/>
                <w:sz w:val="24"/>
                <w:szCs w:val="24"/>
                <w:highlight w:val="none"/>
                <w:lang w:eastAsia="zh-CN"/>
              </w:rPr>
              <w:t>施工单位自检项目除外</w:t>
            </w:r>
            <w:r>
              <w:rPr>
                <w:rFonts w:hint="eastAsia" w:ascii="Times New Roman" w:hAnsi="Times New Roman" w:eastAsia="宋体" w:cs="宋体"/>
                <w:color w:val="auto"/>
                <w:sz w:val="24"/>
                <w:szCs w:val="24"/>
                <w:highlight w:val="none"/>
              </w:rPr>
              <w:t>），且满足下列条件之一：</w:t>
            </w:r>
          </w:p>
          <w:p w14:paraId="4D77F744">
            <w:pPr>
              <w:spacing w:line="440" w:lineRule="exact"/>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（1）单个合同检测费用金额不少于</w:t>
            </w:r>
            <w:r>
              <w:rPr>
                <w:rFonts w:hint="eastAsia" w:ascii="Times New Roman" w:hAnsi="Times New Roman" w:eastAsia="宋体" w:cs="宋体"/>
                <w:color w:val="auto"/>
                <w:sz w:val="24"/>
                <w:szCs w:val="24"/>
                <w:highlight w:val="none"/>
                <w:lang w:val="en-US" w:eastAsia="zh-CN"/>
              </w:rPr>
              <w:t>3.5</w:t>
            </w:r>
            <w:r>
              <w:rPr>
                <w:rFonts w:hint="eastAsia" w:ascii="Times New Roman" w:hAnsi="Times New Roman" w:eastAsia="宋体" w:cs="宋体"/>
                <w:color w:val="auto"/>
                <w:sz w:val="24"/>
                <w:szCs w:val="24"/>
                <w:highlight w:val="none"/>
              </w:rPr>
              <w:t>万元。</w:t>
            </w:r>
          </w:p>
          <w:p w14:paraId="26F35C64">
            <w:pPr>
              <w:spacing w:line="440" w:lineRule="exact"/>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（2）单个合同中总建筑面积不低于</w:t>
            </w:r>
            <w:r>
              <w:rPr>
                <w:rFonts w:hint="eastAsia" w:ascii="Times New Roman" w:hAnsi="Times New Roman" w:eastAsia="宋体" w:cs="宋体"/>
                <w:color w:val="auto"/>
                <w:sz w:val="24"/>
                <w:szCs w:val="24"/>
                <w:highlight w:val="none"/>
                <w:lang w:val="en-US" w:eastAsia="zh-CN"/>
              </w:rPr>
              <w:t>40000</w:t>
            </w:r>
            <w:r>
              <w:rPr>
                <w:rFonts w:hint="eastAsia" w:ascii="Times New Roman" w:hAnsi="Times New Roman" w:eastAsia="宋体" w:cs="宋体"/>
                <w:color w:val="auto"/>
                <w:sz w:val="24"/>
                <w:szCs w:val="24"/>
                <w:highlight w:val="none"/>
                <w:lang w:eastAsia="zh-CN"/>
              </w:rPr>
              <w:t>平方米</w:t>
            </w:r>
            <w:r>
              <w:rPr>
                <w:rFonts w:hint="eastAsia" w:ascii="Times New Roman" w:hAnsi="Times New Roman" w:eastAsia="宋体" w:cs="宋体"/>
                <w:color w:val="auto"/>
                <w:sz w:val="24"/>
                <w:szCs w:val="24"/>
                <w:highlight w:val="none"/>
              </w:rPr>
              <w:t>。</w:t>
            </w:r>
          </w:p>
          <w:p w14:paraId="3E4F9994">
            <w:pPr>
              <w:spacing w:line="440" w:lineRule="exact"/>
              <w:jc w:val="left"/>
              <w:rPr>
                <w:rFonts w:hint="eastAsia" w:ascii="Times New Roman" w:hAnsi="Times New Roman" w:eastAsia="宋体" w:cs="宋体"/>
                <w:color w:val="auto"/>
                <w:sz w:val="24"/>
                <w:szCs w:val="24"/>
                <w:highlight w:val="none"/>
                <w:lang w:eastAsia="zh-CN"/>
              </w:rPr>
            </w:pPr>
            <w:r>
              <w:rPr>
                <w:rFonts w:ascii="Times New Roman" w:hAnsi="Times New Roman" w:eastAsia="宋体" w:cs="宋体"/>
                <w:color w:val="auto"/>
                <w:sz w:val="24"/>
                <w:szCs w:val="24"/>
                <w:highlight w:val="none"/>
              </w:rPr>
              <w:t>每个得3分，满分12分</w:t>
            </w:r>
            <w:r>
              <w:rPr>
                <w:rFonts w:hint="eastAsia" w:ascii="Times New Roman" w:hAnsi="Times New Roman" w:eastAsia="宋体" w:cs="宋体"/>
                <w:color w:val="auto"/>
                <w:sz w:val="24"/>
                <w:szCs w:val="24"/>
                <w:highlight w:val="none"/>
                <w:lang w:eastAsia="zh-CN"/>
              </w:rPr>
              <w:t>。</w:t>
            </w:r>
          </w:p>
          <w:p w14:paraId="21DFF15D">
            <w:pPr>
              <w:spacing w:line="440" w:lineRule="exact"/>
              <w:jc w:val="left"/>
              <w:rPr>
                <w:rFonts w:hint="eastAsia"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t>注：</w:t>
            </w:r>
          </w:p>
          <w:p w14:paraId="65CD174E">
            <w:pPr>
              <w:spacing w:line="440" w:lineRule="exact"/>
              <w:jc w:val="left"/>
              <w:rPr>
                <w:rFonts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t>1.</w:t>
            </w:r>
            <w:r>
              <w:rPr>
                <w:rFonts w:hint="eastAsia" w:ascii="Times New Roman" w:hAnsi="Times New Roman" w:eastAsia="宋体" w:cs="宋体"/>
                <w:b/>
                <w:bCs/>
                <w:color w:val="auto"/>
                <w:sz w:val="24"/>
                <w:szCs w:val="24"/>
                <w:highlight w:val="none"/>
              </w:rPr>
              <w:t>上述要求的业绩须为已完成的业绩：投标文件中须同时提供以下业绩证明材料：</w:t>
            </w:r>
          </w:p>
          <w:p w14:paraId="7B34B261">
            <w:pPr>
              <w:spacing w:line="440" w:lineRule="exact"/>
              <w:jc w:val="left"/>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（1）业绩合同扫描件；</w:t>
            </w:r>
          </w:p>
          <w:p w14:paraId="1B5F20A4">
            <w:pPr>
              <w:spacing w:line="440" w:lineRule="exact"/>
              <w:jc w:val="left"/>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（2）与该业绩对应的项目已完成的证明材料（如验收报告或合同甲方证明）。</w:t>
            </w:r>
          </w:p>
          <w:p w14:paraId="2BAE765C">
            <w:pPr>
              <w:spacing w:line="440" w:lineRule="exact"/>
              <w:jc w:val="left"/>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业绩材料说明：1）已完成的证明材料须加盖合同甲方单位</w:t>
            </w:r>
            <w:r>
              <w:rPr>
                <w:rFonts w:hint="eastAsia" w:ascii="Times New Roman" w:hAnsi="Times New Roman" w:eastAsia="宋体" w:cs="宋体"/>
                <w:b/>
                <w:bCs/>
                <w:color w:val="auto"/>
                <w:sz w:val="24"/>
                <w:szCs w:val="24"/>
                <w:highlight w:val="none"/>
                <w:lang w:val="en-US" w:eastAsia="zh-CN"/>
              </w:rPr>
              <w:t>公</w:t>
            </w:r>
            <w:r>
              <w:rPr>
                <w:rFonts w:hint="eastAsia" w:ascii="Times New Roman" w:hAnsi="Times New Roman" w:eastAsia="宋体" w:cs="宋体"/>
                <w:b/>
                <w:bCs/>
                <w:color w:val="auto"/>
                <w:sz w:val="24"/>
                <w:szCs w:val="24"/>
                <w:highlight w:val="none"/>
              </w:rPr>
              <w:t>章（证明材料已有合同甲方单位</w:t>
            </w:r>
            <w:r>
              <w:rPr>
                <w:rFonts w:hint="eastAsia" w:ascii="Times New Roman" w:hAnsi="Times New Roman" w:eastAsia="宋体" w:cs="宋体"/>
                <w:b/>
                <w:bCs/>
                <w:color w:val="auto"/>
                <w:sz w:val="24"/>
                <w:szCs w:val="24"/>
                <w:highlight w:val="none"/>
                <w:lang w:val="en-US" w:eastAsia="zh-CN"/>
              </w:rPr>
              <w:t>公</w:t>
            </w:r>
            <w:r>
              <w:rPr>
                <w:rFonts w:hint="eastAsia" w:ascii="Times New Roman" w:hAnsi="Times New Roman" w:eastAsia="宋体" w:cs="宋体"/>
                <w:b/>
                <w:bCs/>
                <w:color w:val="auto"/>
                <w:sz w:val="24"/>
                <w:szCs w:val="24"/>
                <w:highlight w:val="none"/>
              </w:rPr>
              <w:t>章的除外），否则评标委员会不予认可。2）如果业绩合同和项目已完成的证明材料中的合同金额等合同要素不一致的，以项目已完成的证明材料为准。</w:t>
            </w:r>
          </w:p>
          <w:p w14:paraId="437DB483">
            <w:pPr>
              <w:spacing w:line="440" w:lineRule="exact"/>
              <w:jc w:val="left"/>
              <w:rPr>
                <w:rFonts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t>（</w:t>
            </w:r>
            <w:r>
              <w:rPr>
                <w:rFonts w:hint="eastAsia" w:ascii="Times New Roman" w:hAnsi="Times New Roman" w:eastAsia="宋体" w:cs="宋体"/>
                <w:b/>
                <w:bCs/>
                <w:color w:val="auto"/>
                <w:sz w:val="24"/>
                <w:szCs w:val="24"/>
                <w:highlight w:val="none"/>
                <w:lang w:val="en-US" w:eastAsia="zh-CN"/>
              </w:rPr>
              <w:t>3</w:t>
            </w:r>
            <w:r>
              <w:rPr>
                <w:rFonts w:ascii="Times New Roman" w:hAnsi="Times New Roman" w:eastAsia="宋体" w:cs="宋体"/>
                <w:b/>
                <w:bCs/>
                <w:color w:val="auto"/>
                <w:sz w:val="24"/>
                <w:szCs w:val="24"/>
                <w:highlight w:val="none"/>
              </w:rPr>
              <w:t>）业绩需在商务文件中“商务文件详细评审资料”栏“投标人业绩情况表（详细评审）”中注明并提供相关证明材料。如未能明确反映评审因素的（如</w:t>
            </w:r>
            <w:r>
              <w:rPr>
                <w:rFonts w:hint="eastAsia" w:ascii="Times New Roman" w:hAnsi="Times New Roman" w:eastAsia="宋体" w:cs="宋体"/>
                <w:b/>
                <w:bCs/>
                <w:color w:val="auto"/>
                <w:sz w:val="24"/>
                <w:szCs w:val="24"/>
                <w:highlight w:val="none"/>
              </w:rPr>
              <w:t>合同金额、</w:t>
            </w:r>
            <w:r>
              <w:rPr>
                <w:rFonts w:hint="eastAsia" w:ascii="Times New Roman" w:hAnsi="Times New Roman" w:eastAsia="宋体" w:cs="宋体"/>
                <w:b/>
                <w:bCs/>
                <w:color w:val="auto"/>
                <w:sz w:val="24"/>
                <w:szCs w:val="24"/>
                <w:highlight w:val="none"/>
                <w:lang w:val="en-US" w:eastAsia="zh-CN"/>
              </w:rPr>
              <w:t>总建筑面积等</w:t>
            </w:r>
            <w:r>
              <w:rPr>
                <w:rFonts w:ascii="Times New Roman" w:hAnsi="Times New Roman" w:eastAsia="宋体" w:cs="宋体"/>
                <w:b/>
                <w:bCs/>
                <w:color w:val="auto"/>
                <w:sz w:val="24"/>
                <w:szCs w:val="24"/>
                <w:highlight w:val="none"/>
              </w:rPr>
              <w:t>），应另附合同甲方证明材料（须加盖合同甲方单位</w:t>
            </w:r>
            <w:r>
              <w:rPr>
                <w:rFonts w:hint="eastAsia" w:ascii="Times New Roman" w:hAnsi="Times New Roman" w:eastAsia="宋体" w:cs="宋体"/>
                <w:b/>
                <w:bCs/>
                <w:color w:val="auto"/>
                <w:sz w:val="24"/>
                <w:szCs w:val="24"/>
                <w:highlight w:val="none"/>
                <w:lang w:val="en-US" w:eastAsia="zh-CN"/>
              </w:rPr>
              <w:t>公</w:t>
            </w:r>
            <w:r>
              <w:rPr>
                <w:rFonts w:hint="eastAsia" w:ascii="Times New Roman" w:hAnsi="Times New Roman" w:eastAsia="宋体" w:cs="宋体"/>
                <w:b/>
                <w:bCs/>
                <w:color w:val="auto"/>
                <w:sz w:val="24"/>
                <w:szCs w:val="24"/>
                <w:highlight w:val="none"/>
              </w:rPr>
              <w:t>章</w:t>
            </w:r>
            <w:r>
              <w:rPr>
                <w:rFonts w:ascii="Times New Roman" w:hAnsi="Times New Roman" w:eastAsia="宋体" w:cs="宋体"/>
                <w:b/>
                <w:bCs/>
                <w:color w:val="auto"/>
                <w:sz w:val="24"/>
                <w:szCs w:val="24"/>
                <w:highlight w:val="none"/>
              </w:rPr>
              <w:t>）予以明确说明，否则评标委员会不予认可。</w:t>
            </w:r>
          </w:p>
          <w:p w14:paraId="5E2C2609">
            <w:pPr>
              <w:spacing w:line="440" w:lineRule="exact"/>
              <w:jc w:val="left"/>
              <w:rPr>
                <w:rFonts w:hint="eastAsia" w:ascii="Times New Roman" w:hAnsi="Times New Roman" w:eastAsia="宋体" w:cs="宋体"/>
                <w:color w:val="auto"/>
                <w:sz w:val="24"/>
                <w:szCs w:val="24"/>
                <w:highlight w:val="none"/>
              </w:rPr>
            </w:pPr>
            <w:r>
              <w:rPr>
                <w:rFonts w:ascii="Times New Roman" w:hAnsi="Times New Roman" w:eastAsia="宋体" w:cs="宋体"/>
                <w:b/>
                <w:bCs/>
                <w:color w:val="auto"/>
                <w:sz w:val="24"/>
                <w:szCs w:val="24"/>
                <w:highlight w:val="none"/>
              </w:rPr>
              <w:t>2.</w:t>
            </w:r>
            <w:r>
              <w:rPr>
                <w:rFonts w:hint="eastAsia" w:ascii="Times New Roman" w:hAnsi="Times New Roman" w:eastAsia="宋体" w:cs="宋体"/>
                <w:b/>
                <w:bCs/>
                <w:color w:val="auto"/>
                <w:sz w:val="24"/>
                <w:szCs w:val="24"/>
                <w:highlight w:val="none"/>
              </w:rPr>
              <w:t>投标人业绩（详细评审）评审标准规定数量：4个</w:t>
            </w:r>
            <w:r>
              <w:rPr>
                <w:rFonts w:hint="eastAsia" w:ascii="Times New Roman" w:hAnsi="Times New Roman" w:eastAsia="宋体" w:cs="宋体"/>
                <w:b/>
                <w:bCs/>
                <w:color w:val="auto"/>
                <w:sz w:val="24"/>
                <w:szCs w:val="24"/>
                <w:highlight w:val="none"/>
                <w:lang w:eastAsia="zh-CN"/>
              </w:rPr>
              <w:t>。</w:t>
            </w:r>
          </w:p>
        </w:tc>
      </w:tr>
      <w:tr w14:paraId="785CA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3FBB2951">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4298B26F">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0DC168A9">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人员</w:t>
            </w:r>
            <w:r>
              <w:rPr>
                <w:rFonts w:ascii="Times New Roman" w:hAnsi="Times New Roman" w:eastAsia="宋体" w:cs="宋体"/>
                <w:color w:val="auto"/>
                <w:sz w:val="24"/>
                <w:szCs w:val="24"/>
                <w:highlight w:val="none"/>
              </w:rPr>
              <w:t>资历</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12D3B1C4">
            <w:pPr>
              <w:spacing w:line="440" w:lineRule="exact"/>
              <w:jc w:val="center"/>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en-US" w:eastAsia="zh-CN"/>
              </w:rPr>
              <w:t>6</w:t>
            </w:r>
            <w:r>
              <w:rPr>
                <w:rFonts w:ascii="Times New Roman" w:hAnsi="Times New Roman" w:eastAsia="宋体" w:cs="宋体"/>
                <w:color w:val="auto"/>
                <w:sz w:val="24"/>
                <w:szCs w:val="24"/>
                <w:highlight w:val="none"/>
              </w:rPr>
              <w:t>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4EFDADB3">
            <w:pPr>
              <w:spacing w:line="360" w:lineRule="auto"/>
              <w:jc w:val="left"/>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lang w:eastAsia="zh-CN"/>
              </w:rPr>
              <w:t>）</w:t>
            </w:r>
            <w:r>
              <w:rPr>
                <w:rFonts w:ascii="Times New Roman" w:hAnsi="Times New Roman" w:eastAsia="宋体" w:cs="宋体"/>
                <w:color w:val="auto"/>
                <w:sz w:val="24"/>
                <w:szCs w:val="24"/>
                <w:highlight w:val="none"/>
              </w:rPr>
              <w:t>拟派项目负责人具备高级</w:t>
            </w:r>
            <w:r>
              <w:rPr>
                <w:rFonts w:hint="eastAsia" w:ascii="Times New Roman" w:hAnsi="Times New Roman" w:eastAsia="宋体" w:cs="宋体"/>
                <w:color w:val="auto"/>
                <w:sz w:val="24"/>
                <w:szCs w:val="24"/>
                <w:highlight w:val="none"/>
                <w:lang w:val="en-US" w:eastAsia="zh-CN"/>
              </w:rPr>
              <w:t>及以上</w:t>
            </w:r>
            <w:r>
              <w:rPr>
                <w:rFonts w:ascii="Times New Roman" w:hAnsi="Times New Roman" w:eastAsia="宋体" w:cs="宋体"/>
                <w:color w:val="auto"/>
                <w:sz w:val="24"/>
                <w:szCs w:val="24"/>
                <w:highlight w:val="none"/>
              </w:rPr>
              <w:t>工程师职称的，得2分</w:t>
            </w:r>
            <w:r>
              <w:rPr>
                <w:rFonts w:hint="eastAsia" w:ascii="Times New Roman" w:hAnsi="Times New Roman" w:eastAsia="宋体" w:cs="宋体"/>
                <w:color w:val="auto"/>
                <w:sz w:val="24"/>
                <w:szCs w:val="24"/>
                <w:highlight w:val="none"/>
                <w:lang w:eastAsia="zh-CN"/>
              </w:rPr>
              <w:t>；</w:t>
            </w:r>
          </w:p>
          <w:p w14:paraId="1D70D994">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拟投入本项目的人员（除项目负责人和检测工程师）外，每配备一名具有</w:t>
            </w:r>
            <w:r>
              <w:rPr>
                <w:rFonts w:hint="eastAsia" w:ascii="宋体" w:hAnsi="宋体" w:eastAsia="宋体" w:cs="Times New Roman"/>
                <w:color w:val="auto"/>
                <w:sz w:val="24"/>
                <w:szCs w:val="20"/>
                <w:highlight w:val="none"/>
              </w:rPr>
              <w:t>检测人员岗位证书或试验检测师（或试验检测工程师）证书</w:t>
            </w:r>
            <w:r>
              <w:rPr>
                <w:rFonts w:hint="eastAsia" w:ascii="宋体" w:hAnsi="宋体" w:eastAsia="宋体" w:cs="Times New Roman"/>
                <w:color w:val="auto"/>
                <w:sz w:val="24"/>
                <w:szCs w:val="24"/>
                <w:highlight w:val="none"/>
              </w:rPr>
              <w:t>的人员得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分，最多</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分。</w:t>
            </w:r>
          </w:p>
          <w:p w14:paraId="1150F128">
            <w:pPr>
              <w:spacing w:line="360" w:lineRule="auto"/>
              <w:jc w:val="left"/>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(1)、(2)合</w:t>
            </w:r>
            <w:r>
              <w:rPr>
                <w:rFonts w:ascii="Times New Roman" w:hAnsi="Times New Roman" w:eastAsia="宋体" w:cs="宋体"/>
                <w:b/>
                <w:bCs/>
                <w:color w:val="auto"/>
                <w:sz w:val="24"/>
                <w:szCs w:val="24"/>
                <w:highlight w:val="none"/>
              </w:rPr>
              <w:t>注：</w:t>
            </w:r>
            <w:r>
              <w:rPr>
                <w:rFonts w:ascii="Times New Roman" w:hAnsi="Times New Roman" w:eastAsia="宋体" w:cs="宋体"/>
                <w:b/>
                <w:bCs/>
                <w:color w:val="auto"/>
                <w:sz w:val="24"/>
                <w:szCs w:val="24"/>
                <w:highlight w:val="none"/>
              </w:rPr>
              <w:br w:type="textWrapping"/>
            </w:r>
            <w:r>
              <w:rPr>
                <w:rFonts w:hint="eastAsia" w:ascii="Times New Roman" w:hAnsi="Times New Roman" w:cs="宋体"/>
                <w:b/>
                <w:bCs/>
                <w:color w:val="auto"/>
                <w:sz w:val="24"/>
                <w:szCs w:val="24"/>
                <w:highlight w:val="none"/>
                <w:lang w:val="en-US" w:eastAsia="zh-CN"/>
              </w:rPr>
              <w:t>1.</w:t>
            </w:r>
            <w:r>
              <w:rPr>
                <w:rFonts w:ascii="Times New Roman" w:hAnsi="Times New Roman" w:eastAsia="宋体" w:cs="宋体"/>
                <w:b/>
                <w:bCs/>
                <w:color w:val="auto"/>
                <w:sz w:val="24"/>
                <w:szCs w:val="24"/>
                <w:highlight w:val="none"/>
              </w:rPr>
              <w:t>投标文件中提供上述人员的相关证书扫描件，未提供不得分。</w:t>
            </w:r>
          </w:p>
          <w:p w14:paraId="20816CE3">
            <w:pPr>
              <w:pStyle w:val="2"/>
              <w:rPr>
                <w:rFonts w:hint="eastAsia" w:eastAsia="宋体"/>
                <w:lang w:val="en-US" w:eastAsia="zh-CN"/>
              </w:rPr>
            </w:pPr>
            <w:r>
              <w:rPr>
                <w:rFonts w:hint="eastAsia" w:ascii="Times New Roman" w:hAnsi="Times New Roman"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u w:val="none"/>
                <w:lang w:val="en-US" w:eastAsia="zh-CN"/>
              </w:rPr>
              <w:t>所有</w:t>
            </w:r>
            <w:r>
              <w:rPr>
                <w:rFonts w:hint="eastAsia" w:ascii="宋体" w:hAnsi="宋体" w:eastAsia="宋体" w:cs="宋体"/>
                <w:b/>
                <w:bCs/>
                <w:color w:val="auto"/>
                <w:sz w:val="24"/>
                <w:szCs w:val="24"/>
                <w:highlight w:val="none"/>
                <w:u w:val="none"/>
                <w:lang w:eastAsia="zh-CN"/>
              </w:rPr>
              <w:t>人员</w:t>
            </w:r>
            <w:r>
              <w:rPr>
                <w:rFonts w:hint="eastAsia" w:ascii="宋体" w:hAnsi="宋体" w:eastAsia="宋体" w:cs="宋体"/>
                <w:b/>
                <w:bCs/>
                <w:color w:val="auto"/>
                <w:sz w:val="24"/>
                <w:szCs w:val="24"/>
                <w:highlight w:val="none"/>
                <w:u w:val="none"/>
                <w:lang w:val="en-US" w:eastAsia="zh-CN"/>
              </w:rPr>
              <w:t>应提供</w:t>
            </w:r>
            <w:r>
              <w:rPr>
                <w:rFonts w:hint="eastAsia" w:ascii="宋体" w:hAnsi="宋体" w:eastAsia="宋体" w:cs="宋体"/>
                <w:b/>
                <w:bCs/>
                <w:color w:val="auto"/>
                <w:kern w:val="0"/>
                <w:sz w:val="24"/>
                <w:szCs w:val="24"/>
                <w:highlight w:val="none"/>
                <w:u w:val="none"/>
                <w:lang w:eastAsia="zh-CN"/>
              </w:rPr>
              <w:t>202</w:t>
            </w:r>
            <w:r>
              <w:rPr>
                <w:rFonts w:hint="eastAsia" w:ascii="宋体" w:hAnsi="宋体" w:eastAsia="宋体" w:cs="宋体"/>
                <w:b/>
                <w:bCs/>
                <w:color w:val="auto"/>
                <w:kern w:val="0"/>
                <w:sz w:val="24"/>
                <w:szCs w:val="24"/>
                <w:highlight w:val="none"/>
                <w:u w:val="none"/>
                <w:lang w:val="en-US" w:eastAsia="zh-CN"/>
              </w:rPr>
              <w:t>5</w:t>
            </w:r>
            <w:r>
              <w:rPr>
                <w:rFonts w:hint="eastAsia" w:ascii="宋体" w:hAnsi="宋体" w:eastAsia="宋体" w:cs="宋体"/>
                <w:b/>
                <w:bCs/>
                <w:color w:val="auto"/>
                <w:kern w:val="0"/>
                <w:sz w:val="24"/>
                <w:szCs w:val="24"/>
                <w:highlight w:val="none"/>
                <w:u w:val="none"/>
                <w:lang w:eastAsia="zh-CN"/>
              </w:rPr>
              <w:t>年</w:t>
            </w:r>
            <w:r>
              <w:rPr>
                <w:rFonts w:hint="eastAsia" w:ascii="宋体" w:hAnsi="宋体" w:eastAsia="宋体" w:cs="宋体"/>
                <w:b/>
                <w:bCs/>
                <w:color w:val="auto"/>
                <w:kern w:val="0"/>
                <w:sz w:val="24"/>
                <w:szCs w:val="24"/>
                <w:highlight w:val="none"/>
                <w:u w:val="none"/>
                <w:lang w:val="en-US" w:eastAsia="zh-CN"/>
              </w:rPr>
              <w:t>7</w:t>
            </w:r>
            <w:r>
              <w:rPr>
                <w:rFonts w:hint="eastAsia" w:ascii="宋体" w:hAnsi="宋体" w:eastAsia="宋体" w:cs="宋体"/>
                <w:b/>
                <w:bCs/>
                <w:color w:val="auto"/>
                <w:kern w:val="0"/>
                <w:sz w:val="24"/>
                <w:szCs w:val="24"/>
                <w:highlight w:val="none"/>
                <w:u w:val="none"/>
                <w:lang w:eastAsia="zh-CN"/>
              </w:rPr>
              <w:t>月</w:t>
            </w:r>
            <w:r>
              <w:rPr>
                <w:rFonts w:hint="eastAsia" w:ascii="宋体" w:hAnsi="宋体" w:eastAsia="宋体" w:cs="宋体"/>
                <w:b/>
                <w:bCs/>
                <w:color w:val="auto"/>
                <w:kern w:val="0"/>
                <w:sz w:val="24"/>
                <w:szCs w:val="24"/>
                <w:highlight w:val="none"/>
                <w:u w:val="none"/>
              </w:rPr>
              <w:t>1日以来任意连续三个月的社保缴费证明（或其他能够证明项目负责人参加社保的有效证明）材料</w:t>
            </w:r>
            <w:r>
              <w:rPr>
                <w:rFonts w:hint="eastAsia" w:ascii="宋体" w:hAnsi="宋体" w:eastAsia="宋体" w:cs="宋体"/>
                <w:b/>
                <w:bCs/>
                <w:color w:val="auto"/>
                <w:kern w:val="0"/>
                <w:sz w:val="24"/>
                <w:szCs w:val="24"/>
                <w:highlight w:val="none"/>
                <w:u w:val="none"/>
                <w:lang w:eastAsia="zh-CN"/>
              </w:rPr>
              <w:t>。</w:t>
            </w:r>
          </w:p>
        </w:tc>
      </w:tr>
      <w:tr w14:paraId="03216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vMerge w:val="continue"/>
            <w:tcBorders>
              <w:top w:val="single" w:color="auto" w:sz="4" w:space="0"/>
              <w:right w:val="single" w:color="auto" w:sz="4" w:space="0"/>
            </w:tcBorders>
            <w:noWrap w:val="0"/>
            <w:vAlign w:val="center"/>
          </w:tcPr>
          <w:p w14:paraId="1896F63F">
            <w:pPr>
              <w:spacing w:line="440" w:lineRule="exact"/>
              <w:jc w:val="center"/>
              <w:rPr>
                <w:rFonts w:hint="eastAsia" w:ascii="Times New Roman" w:hAnsi="Times New Roman" w:eastAsia="宋体" w:cs="宋体"/>
                <w:color w:val="auto"/>
                <w:sz w:val="24"/>
                <w:szCs w:val="24"/>
                <w:highlight w:val="none"/>
              </w:rPr>
            </w:pPr>
          </w:p>
        </w:tc>
        <w:tc>
          <w:tcPr>
            <w:tcW w:w="443" w:type="pct"/>
            <w:vMerge w:val="continue"/>
            <w:tcBorders>
              <w:top w:val="single" w:color="auto" w:sz="4" w:space="0"/>
              <w:right w:val="single" w:color="auto" w:sz="4" w:space="0"/>
            </w:tcBorders>
            <w:noWrap w:val="0"/>
            <w:vAlign w:val="center"/>
          </w:tcPr>
          <w:p w14:paraId="17ED70C1">
            <w:pPr>
              <w:spacing w:line="440" w:lineRule="exact"/>
              <w:jc w:val="center"/>
              <w:rPr>
                <w:rFonts w:hint="eastAsia" w:ascii="Times New Roman" w:hAnsi="Times New Roman" w:eastAsia="宋体" w:cs="宋体"/>
                <w:color w:val="auto"/>
                <w:sz w:val="24"/>
                <w:szCs w:val="24"/>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11411933">
            <w:pPr>
              <w:spacing w:line="440" w:lineRule="exact"/>
              <w:jc w:val="center"/>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投标人荣誉</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5207B225">
            <w:pPr>
              <w:spacing w:line="440" w:lineRule="exact"/>
              <w:jc w:val="center"/>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en-US" w:eastAsia="zh-CN"/>
              </w:rPr>
              <w:t>4</w:t>
            </w:r>
            <w:r>
              <w:rPr>
                <w:rFonts w:ascii="Times New Roman" w:hAnsi="Times New Roman" w:eastAsia="宋体" w:cs="宋体"/>
                <w:color w:val="auto"/>
                <w:sz w:val="24"/>
                <w:szCs w:val="24"/>
                <w:highlight w:val="none"/>
              </w:rPr>
              <w:t>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215F56DA">
            <w:pPr>
              <w:spacing w:line="440" w:lineRule="exact"/>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20</w:t>
            </w:r>
            <w:r>
              <w:rPr>
                <w:rFonts w:hint="eastAsia" w:ascii="Times New Roman" w:hAnsi="Times New Roman" w:eastAsia="宋体" w:cs="宋体"/>
                <w:color w:val="auto"/>
                <w:sz w:val="24"/>
                <w:szCs w:val="24"/>
                <w:highlight w:val="none"/>
                <w:lang w:val="en-US" w:eastAsia="zh-CN"/>
              </w:rPr>
              <w:t>21</w:t>
            </w:r>
            <w:r>
              <w:rPr>
                <w:rFonts w:ascii="Times New Roman" w:hAnsi="Times New Roman" w:eastAsia="宋体" w:cs="宋体"/>
                <w:color w:val="auto"/>
                <w:sz w:val="24"/>
                <w:szCs w:val="24"/>
                <w:highlight w:val="none"/>
              </w:rPr>
              <w:t>年1月1日以来(以颁奖时间为准)，投标人获得建设行政主管部门或在国内依法登记注册的行业协会（或学会）颁发的建设行业优秀质量检测企业或检测先进单位或工程检测类优秀企业等称号或荣誉的，</w:t>
            </w:r>
            <w:r>
              <w:rPr>
                <w:rFonts w:hint="eastAsia" w:ascii="Times New Roman" w:hAnsi="Times New Roman" w:eastAsia="宋体" w:cs="宋体"/>
                <w:color w:val="auto"/>
                <w:sz w:val="24"/>
                <w:szCs w:val="24"/>
                <w:highlight w:val="none"/>
                <w:lang w:val="en-US" w:eastAsia="zh-CN"/>
              </w:rPr>
              <w:t>地市级</w:t>
            </w:r>
            <w:r>
              <w:rPr>
                <w:rFonts w:ascii="Times New Roman" w:hAnsi="Times New Roman" w:eastAsia="宋体" w:cs="宋体"/>
                <w:color w:val="auto"/>
                <w:sz w:val="24"/>
                <w:szCs w:val="24"/>
                <w:highlight w:val="none"/>
              </w:rPr>
              <w:t>及以上的，每次得2分，满分</w:t>
            </w:r>
            <w:r>
              <w:rPr>
                <w:rFonts w:hint="eastAsia" w:ascii="Times New Roman" w:hAnsi="Times New Roman" w:eastAsia="宋体" w:cs="宋体"/>
                <w:color w:val="auto"/>
                <w:sz w:val="24"/>
                <w:szCs w:val="24"/>
                <w:highlight w:val="none"/>
                <w:lang w:val="en-US" w:eastAsia="zh-CN"/>
              </w:rPr>
              <w:t>4</w:t>
            </w:r>
            <w:r>
              <w:rPr>
                <w:rFonts w:ascii="Times New Roman" w:hAnsi="Times New Roman" w:eastAsia="宋体" w:cs="宋体"/>
                <w:color w:val="auto"/>
                <w:sz w:val="24"/>
                <w:szCs w:val="24"/>
                <w:highlight w:val="none"/>
              </w:rPr>
              <w:t>分。</w:t>
            </w:r>
          </w:p>
          <w:p w14:paraId="22B87BF3">
            <w:pPr>
              <w:spacing w:line="440" w:lineRule="exact"/>
              <w:jc w:val="left"/>
              <w:rPr>
                <w:rFonts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t>注：</w:t>
            </w:r>
            <w:r>
              <w:rPr>
                <w:rFonts w:hint="eastAsia" w:ascii="Times New Roman" w:hAnsi="Times New Roman" w:eastAsia="宋体" w:cs="宋体"/>
                <w:b/>
                <w:bCs/>
                <w:color w:val="auto"/>
                <w:sz w:val="24"/>
                <w:szCs w:val="24"/>
                <w:highlight w:val="none"/>
                <w:lang w:val="en-US" w:eastAsia="zh-CN"/>
              </w:rPr>
              <w:t>1.</w:t>
            </w:r>
            <w:r>
              <w:rPr>
                <w:rFonts w:ascii="Times New Roman" w:hAnsi="Times New Roman" w:eastAsia="宋体" w:cs="宋体"/>
                <w:b/>
                <w:bCs/>
                <w:color w:val="auto"/>
                <w:sz w:val="24"/>
                <w:szCs w:val="24"/>
                <w:highlight w:val="none"/>
              </w:rPr>
              <w:t>投标文件中须提供颁奖单位的颁奖文件（不含荣誉证书、奖杯、奖牌、奖状）扫描件或颁奖单位官网文件截图；</w:t>
            </w:r>
          </w:p>
          <w:p w14:paraId="03A63330">
            <w:pPr>
              <w:spacing w:line="440" w:lineRule="exact"/>
              <w:jc w:val="left"/>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2.</w:t>
            </w:r>
            <w:r>
              <w:rPr>
                <w:rFonts w:hint="eastAsia" w:ascii="Times New Roman" w:hAnsi="Times New Roman" w:eastAsia="宋体" w:cs="宋体"/>
                <w:b/>
                <w:bCs/>
                <w:color w:val="auto"/>
                <w:sz w:val="24"/>
                <w:szCs w:val="24"/>
                <w:highlight w:val="none"/>
              </w:rPr>
              <w:t>“国内依法登记注册”以中国社会组织政务服务平台中“全国社会组织信用信息公示平台”查询结果为准。针对国内依法登记注册的行业协会（或学会）颁发的奖项、荣誉，投标文件中须提供该协会在中国社会组织政务服务平台中“全国社会组织信用信息公示平台”查询结果截图；</w:t>
            </w:r>
          </w:p>
          <w:p w14:paraId="629D6F03">
            <w:pPr>
              <w:spacing w:line="440" w:lineRule="exact"/>
              <w:jc w:val="left"/>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3.</w:t>
            </w:r>
            <w:r>
              <w:rPr>
                <w:rFonts w:hint="eastAsia" w:ascii="Times New Roman" w:hAnsi="Times New Roman" w:eastAsia="宋体" w:cs="宋体"/>
                <w:b/>
                <w:bCs/>
                <w:color w:val="auto"/>
                <w:sz w:val="24"/>
                <w:szCs w:val="24"/>
                <w:highlight w:val="none"/>
              </w:rPr>
              <w:t>民政部公布的“离岸社团”、“山寨社团”或中国社会组织政务服务平台中“全国社会组织信用信息公示平台”公示的“涉嫌非法社会组织”颁发的荣誉、奖励均无效”。</w:t>
            </w:r>
          </w:p>
          <w:p w14:paraId="13766479">
            <w:pPr>
              <w:spacing w:line="440" w:lineRule="exact"/>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rPr>
              <w:t>4.以上证明材料须能体现</w:t>
            </w:r>
            <w:r>
              <w:rPr>
                <w:rFonts w:hint="eastAsia" w:ascii="Times New Roman" w:hAnsi="Times New Roman" w:eastAsia="宋体" w:cs="宋体"/>
                <w:b/>
                <w:bCs/>
                <w:color w:val="auto"/>
                <w:sz w:val="24"/>
                <w:szCs w:val="24"/>
                <w:highlight w:val="none"/>
                <w:lang w:eastAsia="zh-CN"/>
              </w:rPr>
              <w:t>投标人</w:t>
            </w:r>
            <w:r>
              <w:rPr>
                <w:rFonts w:hint="eastAsia" w:ascii="Times New Roman" w:hAnsi="Times New Roman" w:eastAsia="宋体" w:cs="宋体"/>
                <w:b/>
                <w:bCs/>
                <w:color w:val="auto"/>
                <w:sz w:val="24"/>
                <w:szCs w:val="24"/>
                <w:highlight w:val="none"/>
              </w:rPr>
              <w:t>名称等评审因素，如无法体现，须另附颁奖单位出具的证明材料予以证明，并经评标委员会认可，否则不得分。</w:t>
            </w:r>
          </w:p>
        </w:tc>
      </w:tr>
      <w:tr w14:paraId="41906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 w:type="pct"/>
            <w:tcBorders>
              <w:top w:val="single" w:color="auto" w:sz="4" w:space="0"/>
              <w:right w:val="single" w:color="auto" w:sz="4" w:space="0"/>
            </w:tcBorders>
            <w:noWrap w:val="0"/>
            <w:vAlign w:val="center"/>
          </w:tcPr>
          <w:p w14:paraId="7C375A5B">
            <w:pPr>
              <w:spacing w:line="440" w:lineRule="exact"/>
              <w:jc w:val="center"/>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val="en-US" w:eastAsia="zh-CN"/>
              </w:rPr>
              <w:t>3</w:t>
            </w:r>
          </w:p>
        </w:tc>
        <w:tc>
          <w:tcPr>
            <w:tcW w:w="443" w:type="pct"/>
            <w:tcBorders>
              <w:top w:val="single" w:color="auto" w:sz="4" w:space="0"/>
              <w:right w:val="single" w:color="auto" w:sz="4" w:space="0"/>
            </w:tcBorders>
            <w:noWrap w:val="0"/>
            <w:vAlign w:val="center"/>
          </w:tcPr>
          <w:p w14:paraId="565A3D85">
            <w:pPr>
              <w:spacing w:line="4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报价文件评分标准</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05EA233E">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价格分</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9BEDB9F">
            <w:pPr>
              <w:widowControl/>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3C43070A">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①确定评标价</w:t>
            </w:r>
          </w:p>
          <w:p w14:paraId="74ACD9CB">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5F581D02">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②确定评标基准价</w:t>
            </w:r>
          </w:p>
          <w:p w14:paraId="7609CEBF">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以通过报价文件初步评审的投标文件的最低评标价作为评标基准价</w:t>
            </w:r>
          </w:p>
          <w:p w14:paraId="008CE91A">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③评标价得分计算</w:t>
            </w:r>
          </w:p>
          <w:p w14:paraId="5E458F16">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评标价得分按照下列公式计算：评标价得分＝（评标基准价/评标价）*F。</w:t>
            </w:r>
          </w:p>
          <w:p w14:paraId="0DAB17DA">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其中：F是价格分的满分值。</w:t>
            </w:r>
          </w:p>
        </w:tc>
      </w:tr>
    </w:tbl>
    <w:p w14:paraId="7BE682F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19E3125"/>
    <w:rsid w:val="03031491"/>
    <w:rsid w:val="06744454"/>
    <w:rsid w:val="082A74C0"/>
    <w:rsid w:val="0A232419"/>
    <w:rsid w:val="0E0662D9"/>
    <w:rsid w:val="10380A69"/>
    <w:rsid w:val="12BE53D5"/>
    <w:rsid w:val="175400B6"/>
    <w:rsid w:val="1DF95513"/>
    <w:rsid w:val="1E7B6870"/>
    <w:rsid w:val="1E8864A6"/>
    <w:rsid w:val="20847C5E"/>
    <w:rsid w:val="219E6AFD"/>
    <w:rsid w:val="21C82EB5"/>
    <w:rsid w:val="237C10C0"/>
    <w:rsid w:val="242B556E"/>
    <w:rsid w:val="27AA4889"/>
    <w:rsid w:val="27B34984"/>
    <w:rsid w:val="28612632"/>
    <w:rsid w:val="2A9C0E0C"/>
    <w:rsid w:val="2E692241"/>
    <w:rsid w:val="2F9C21A2"/>
    <w:rsid w:val="2FB4573E"/>
    <w:rsid w:val="2FEC498C"/>
    <w:rsid w:val="30A21A3A"/>
    <w:rsid w:val="3207424B"/>
    <w:rsid w:val="328A6C2A"/>
    <w:rsid w:val="3296737C"/>
    <w:rsid w:val="32F12805"/>
    <w:rsid w:val="33CF0D98"/>
    <w:rsid w:val="34657618"/>
    <w:rsid w:val="349873DC"/>
    <w:rsid w:val="35613C72"/>
    <w:rsid w:val="357D65D2"/>
    <w:rsid w:val="36DB7A54"/>
    <w:rsid w:val="389600D6"/>
    <w:rsid w:val="3AC60FDC"/>
    <w:rsid w:val="3B260335"/>
    <w:rsid w:val="3DF8713D"/>
    <w:rsid w:val="3E03620E"/>
    <w:rsid w:val="3E504A49"/>
    <w:rsid w:val="400B75FC"/>
    <w:rsid w:val="40251D40"/>
    <w:rsid w:val="432664FB"/>
    <w:rsid w:val="45091C30"/>
    <w:rsid w:val="4D6B16DA"/>
    <w:rsid w:val="4FDD6193"/>
    <w:rsid w:val="50727F0A"/>
    <w:rsid w:val="512F2A1E"/>
    <w:rsid w:val="52DD2D98"/>
    <w:rsid w:val="53312A7E"/>
    <w:rsid w:val="53B37937"/>
    <w:rsid w:val="568630E0"/>
    <w:rsid w:val="57E05BC9"/>
    <w:rsid w:val="5A4E2167"/>
    <w:rsid w:val="5B296730"/>
    <w:rsid w:val="5BAD110F"/>
    <w:rsid w:val="60885CA7"/>
    <w:rsid w:val="60FD6695"/>
    <w:rsid w:val="63C33BC6"/>
    <w:rsid w:val="65D5373C"/>
    <w:rsid w:val="65E46075"/>
    <w:rsid w:val="65E50EB0"/>
    <w:rsid w:val="662D5666"/>
    <w:rsid w:val="66A23F66"/>
    <w:rsid w:val="698D7411"/>
    <w:rsid w:val="6B2D6C85"/>
    <w:rsid w:val="6E1E26F7"/>
    <w:rsid w:val="6E217E67"/>
    <w:rsid w:val="70514307"/>
    <w:rsid w:val="7169742F"/>
    <w:rsid w:val="71B40FF2"/>
    <w:rsid w:val="7445537A"/>
    <w:rsid w:val="76933ED8"/>
    <w:rsid w:val="7AA339B1"/>
    <w:rsid w:val="7B166879"/>
    <w:rsid w:val="7B1D5512"/>
    <w:rsid w:val="7B7C73C1"/>
    <w:rsid w:val="7CBB3234"/>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character" w:styleId="6">
    <w:name w:val="Strong"/>
    <w:basedOn w:val="5"/>
    <w:qFormat/>
    <w:uiPriority w:val="0"/>
    <w:rPr>
      <w:b/>
    </w:rPr>
  </w:style>
  <w:style w:type="character" w:styleId="7">
    <w:name w:val="Hyperlink"/>
    <w:qFormat/>
    <w:uiPriority w:val="99"/>
    <w:rPr>
      <w:color w:val="0000FF"/>
      <w:u w:val="single"/>
    </w:rPr>
  </w:style>
  <w:style w:type="paragraph" w:customStyle="1" w:styleId="8">
    <w:name w:val="三级标题目录样式"/>
    <w:basedOn w:val="1"/>
    <w:next w:val="1"/>
    <w:qFormat/>
    <w:uiPriority w:val="0"/>
    <w:pPr>
      <w:keepNext/>
      <w:keepLines/>
      <w:spacing w:before="100" w:beforeLines="100" w:after="100" w:afterLines="100"/>
      <w:jc w:val="center"/>
      <w:outlineLvl w:val="1"/>
    </w:pPr>
    <w:rPr>
      <w:rFonts w:hint="eastAsia" w:ascii="宋体" w:hAnsi="宋体" w:eastAsia="黑体" w:cs="宋体"/>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2068</Words>
  <Characters>2109</Characters>
  <Lines>0</Lines>
  <Paragraphs>0</Paragraphs>
  <TotalTime>0</TotalTime>
  <ScaleCrop>false</ScaleCrop>
  <LinksUpToDate>false</LinksUpToDate>
  <CharactersWithSpaces>2109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2026-06-14T11:16:00Z</dcterms:created>
  <dc:creator>郑浩</dc:creator>
  <cp:lastModifiedBy>郑浩</cp:lastModifiedBy>
  <dcterms:modified xsi:type="dcterms:W3CDTF">2026-06-16T04:33:58Z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eyJoZGlkIjoiM2JkMDZmZTBhOTA1ZWVkMGE5YmNlMDM2NDdhMjM3YzciLCJ1c2VySWQiOiIzMTI0NzI0NzEifQ==</vt:lpwstr>
  </property>
  <property fmtid="{D5CDD505-2E9C-101B-9397-08002B2CF9AE}" pid="4" name="ICV">
    <vt:lpwstr>EED9C5A4805841CC9DF14A070A93CCA7_12</vt:lpwstr>
  </property>
</Properties>
</file>