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DEC92">
      <w:pPr>
        <w:spacing w:line="360" w:lineRule="auto"/>
        <w:jc w:val="both"/>
        <w:outlineLvl w:val="1"/>
      </w:pPr>
      <w:r>
        <w:rPr>
          <w:rFonts w:hint="eastAsia"/>
        </w:rPr>
        <w:t>附件</w:t>
      </w:r>
      <w:r>
        <w:t>3</w:t>
      </w:r>
    </w:p>
    <w:p w14:paraId="76B90667">
      <w:pPr>
        <w:keepNext w:val="0"/>
        <w:keepLines w:val="0"/>
        <w:pageBreakBefore w:val="0"/>
        <w:widowControl w:val="0"/>
        <w:kinsoku/>
        <w:wordWrap/>
        <w:overflowPunct/>
        <w:topLinePunct w:val="0"/>
        <w:autoSpaceDE/>
        <w:autoSpaceDN/>
        <w:bidi w:val="0"/>
        <w:adjustRightInd/>
        <w:snapToGrid/>
        <w:spacing w:line="592" w:lineRule="exact"/>
        <w:jc w:val="center"/>
        <w:textAlignment w:val="auto"/>
        <w:outlineLvl w:val="1"/>
        <w:rPr>
          <w:rFonts w:hint="eastAsia" w:asciiTheme="minorEastAsia" w:hAnsiTheme="minorEastAsia" w:eastAsiaTheme="minorEastAsia"/>
          <w:b/>
          <w:sz w:val="44"/>
          <w:szCs w:val="44"/>
        </w:rPr>
      </w:pP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合肥市第三十五中学中心机房UPS蓄电池采购项目</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评分细则</w:t>
      </w:r>
    </w:p>
    <w:p w14:paraId="06FE743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初审</w:t>
      </w:r>
    </w:p>
    <w:p w14:paraId="6ABD0C9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评审专家组对供应商的响应文件进行初审，以确定其是否满足招标公告的实质性要求。初审表如下：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36"/>
        <w:gridCol w:w="2698"/>
        <w:gridCol w:w="3781"/>
      </w:tblGrid>
      <w:tr w14:paraId="33F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199CA6F">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初审表</w:t>
            </w:r>
          </w:p>
        </w:tc>
      </w:tr>
      <w:tr w14:paraId="59F9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4AE4170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096" w:type="pct"/>
            <w:tcBorders>
              <w:bottom w:val="single" w:color="auto" w:sz="4" w:space="0"/>
            </w:tcBorders>
            <w:vAlign w:val="center"/>
          </w:tcPr>
          <w:p w14:paraId="2B54808C">
            <w:pPr>
              <w:pStyle w:val="43"/>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评审指标</w:t>
            </w:r>
          </w:p>
        </w:tc>
        <w:tc>
          <w:tcPr>
            <w:tcW w:w="1452" w:type="pct"/>
            <w:tcBorders>
              <w:bottom w:val="single" w:color="auto" w:sz="4" w:space="0"/>
            </w:tcBorders>
            <w:vAlign w:val="center"/>
          </w:tcPr>
          <w:p w14:paraId="63D4514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评审标准</w:t>
            </w:r>
          </w:p>
        </w:tc>
        <w:tc>
          <w:tcPr>
            <w:tcW w:w="2033" w:type="pct"/>
            <w:tcBorders>
              <w:bottom w:val="single" w:color="auto" w:sz="4" w:space="0"/>
            </w:tcBorders>
            <w:vAlign w:val="center"/>
          </w:tcPr>
          <w:p w14:paraId="633DEEA5">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格式及材料要求</w:t>
            </w:r>
          </w:p>
        </w:tc>
      </w:tr>
      <w:tr w14:paraId="182D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17" w:type="pct"/>
            <w:tcBorders>
              <w:bottom w:val="single" w:color="auto" w:sz="4" w:space="0"/>
            </w:tcBorders>
            <w:vAlign w:val="center"/>
          </w:tcPr>
          <w:p w14:paraId="475151C5">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1096" w:type="pct"/>
            <w:tcBorders>
              <w:bottom w:val="single" w:color="auto" w:sz="4" w:space="0"/>
            </w:tcBorders>
            <w:vAlign w:val="center"/>
          </w:tcPr>
          <w:p w14:paraId="15BAC6DD">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营业执照</w:t>
            </w:r>
          </w:p>
        </w:tc>
        <w:tc>
          <w:tcPr>
            <w:tcW w:w="1452" w:type="pct"/>
            <w:tcBorders>
              <w:bottom w:val="single" w:color="auto" w:sz="4" w:space="0"/>
            </w:tcBorders>
            <w:vAlign w:val="center"/>
          </w:tcPr>
          <w:p w14:paraId="396BCD06">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合法有效</w:t>
            </w:r>
          </w:p>
        </w:tc>
        <w:tc>
          <w:tcPr>
            <w:tcW w:w="2033" w:type="pct"/>
            <w:vAlign w:val="center"/>
          </w:tcPr>
          <w:p w14:paraId="77A5369E">
            <w:pPr>
              <w:spacing w:line="360" w:lineRule="auto"/>
              <w:jc w:val="left"/>
              <w:rPr>
                <w:rFonts w:hint="eastAsia" w:ascii="宋体" w:hAnsi="宋体" w:eastAsia="宋体"/>
                <w:sz w:val="24"/>
              </w:rPr>
            </w:pPr>
            <w:r>
              <w:rPr>
                <w:rFonts w:hint="eastAsia" w:ascii="宋体" w:hAnsi="宋体" w:eastAsia="宋体"/>
                <w:sz w:val="24"/>
              </w:rPr>
              <w:t>提供合法有效的供应商营业执照。</w:t>
            </w:r>
          </w:p>
        </w:tc>
      </w:tr>
      <w:tr w14:paraId="5F8C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7" w:type="pct"/>
            <w:tcBorders>
              <w:bottom w:val="single" w:color="auto" w:sz="4" w:space="0"/>
            </w:tcBorders>
            <w:vAlign w:val="center"/>
          </w:tcPr>
          <w:p w14:paraId="1C94C67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1096" w:type="pct"/>
            <w:tcBorders>
              <w:bottom w:val="single" w:color="auto" w:sz="4" w:space="0"/>
            </w:tcBorders>
            <w:vAlign w:val="center"/>
          </w:tcPr>
          <w:p w14:paraId="128DF9F4">
            <w:pPr>
              <w:spacing w:after="50" w:line="360" w:lineRule="auto"/>
              <w:ind w:right="-10"/>
              <w:jc w:val="center"/>
              <w:rPr>
                <w:rFonts w:hint="eastAsia" w:ascii="宋体" w:hAnsi="宋体" w:eastAsiaTheme="minorEastAsia"/>
                <w:sz w:val="24"/>
                <w:szCs w:val="28"/>
              </w:rPr>
            </w:pPr>
            <w:r>
              <w:rPr>
                <w:rFonts w:hint="eastAsia" w:asciiTheme="minorEastAsia" w:hAnsiTheme="minorEastAsia" w:eastAsiaTheme="minorEastAsia"/>
                <w:sz w:val="24"/>
                <w:szCs w:val="28"/>
              </w:rPr>
              <w:t>报价表</w:t>
            </w:r>
          </w:p>
        </w:tc>
        <w:tc>
          <w:tcPr>
            <w:tcW w:w="1452" w:type="pct"/>
            <w:tcBorders>
              <w:bottom w:val="single" w:color="auto" w:sz="4" w:space="0"/>
            </w:tcBorders>
            <w:vAlign w:val="center"/>
          </w:tcPr>
          <w:p w14:paraId="6BBAC6C0">
            <w:pPr>
              <w:spacing w:after="50" w:line="360" w:lineRule="auto"/>
              <w:ind w:right="-10"/>
              <w:jc w:val="center"/>
              <w:rPr>
                <w:rFonts w:hint="eastAsia" w:ascii="宋体" w:hAnsi="宋体" w:eastAsia="宋体"/>
                <w:sz w:val="24"/>
                <w:szCs w:val="28"/>
              </w:rPr>
            </w:pPr>
            <w:r>
              <w:rPr>
                <w:rFonts w:hint="eastAsia" w:asciiTheme="minorEastAsia" w:hAnsiTheme="minorEastAsia" w:eastAsiaTheme="minorEastAsia"/>
                <w:sz w:val="24"/>
                <w:szCs w:val="28"/>
              </w:rPr>
              <w:t>加盖</w:t>
            </w:r>
            <w:r>
              <w:rPr>
                <w:rFonts w:hint="eastAsia" w:ascii="宋体" w:hAnsi="宋体" w:eastAsia="宋体"/>
                <w:sz w:val="24"/>
                <w:szCs w:val="28"/>
              </w:rPr>
              <w:t>供应商</w:t>
            </w:r>
            <w:r>
              <w:rPr>
                <w:rFonts w:hint="eastAsia" w:asciiTheme="minorEastAsia" w:hAnsiTheme="minorEastAsia" w:eastAsiaTheme="minorEastAsia"/>
                <w:sz w:val="24"/>
                <w:szCs w:val="28"/>
              </w:rPr>
              <w:t>公章</w:t>
            </w:r>
          </w:p>
        </w:tc>
        <w:tc>
          <w:tcPr>
            <w:tcW w:w="2033" w:type="pct"/>
            <w:tcBorders>
              <w:bottom w:val="single" w:color="auto" w:sz="4" w:space="0"/>
            </w:tcBorders>
            <w:vAlign w:val="center"/>
          </w:tcPr>
          <w:p w14:paraId="7767AE08">
            <w:pPr>
              <w:adjustRightInd w:val="0"/>
              <w:snapToGrid w:val="0"/>
              <w:spacing w:line="360" w:lineRule="auto"/>
              <w:ind w:right="-10"/>
              <w:jc w:val="left"/>
              <w:rPr>
                <w:rFonts w:hint="eastAsia" w:ascii="宋体" w:hAnsi="宋体" w:eastAsia="宋体"/>
                <w:sz w:val="24"/>
                <w:szCs w:val="28"/>
              </w:rPr>
            </w:pPr>
            <w:r>
              <w:rPr>
                <w:rFonts w:hint="eastAsia" w:ascii="宋体" w:hAnsi="宋体" w:eastAsia="宋体"/>
                <w:sz w:val="24"/>
                <w:szCs w:val="28"/>
              </w:rPr>
              <w:t>提供报价表</w:t>
            </w:r>
          </w:p>
        </w:tc>
      </w:tr>
      <w:tr w14:paraId="102A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256D4E2B">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1096" w:type="pct"/>
            <w:tcBorders>
              <w:bottom w:val="single" w:color="auto" w:sz="4" w:space="0"/>
            </w:tcBorders>
            <w:vAlign w:val="center"/>
          </w:tcPr>
          <w:p w14:paraId="6D5C7F37">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响应函</w:t>
            </w:r>
          </w:p>
        </w:tc>
        <w:tc>
          <w:tcPr>
            <w:tcW w:w="1452" w:type="pct"/>
            <w:tcBorders>
              <w:bottom w:val="single" w:color="auto" w:sz="4" w:space="0"/>
            </w:tcBorders>
            <w:vAlign w:val="center"/>
          </w:tcPr>
          <w:p w14:paraId="108958A5">
            <w:pPr>
              <w:spacing w:after="50" w:line="360" w:lineRule="auto"/>
              <w:ind w:right="-10"/>
              <w:jc w:val="center"/>
              <w:rPr>
                <w:rFonts w:hint="eastAsia" w:ascii="宋体" w:hAnsi="宋体" w:eastAsia="宋体"/>
                <w:sz w:val="24"/>
                <w:szCs w:val="28"/>
              </w:rPr>
            </w:pPr>
            <w:r>
              <w:rPr>
                <w:rFonts w:hint="eastAsia" w:asciiTheme="minorEastAsia" w:hAnsiTheme="minorEastAsia" w:eastAsiaTheme="minorEastAsia"/>
                <w:sz w:val="24"/>
                <w:szCs w:val="28"/>
              </w:rPr>
              <w:t>格式、填写要求符合招标公</w:t>
            </w:r>
            <w:r>
              <w:rPr>
                <w:rFonts w:hint="eastAsia" w:asciiTheme="minorEastAsia" w:hAnsiTheme="minorEastAsia" w:eastAsiaTheme="minorEastAsia"/>
                <w:sz w:val="24"/>
                <w:szCs w:val="28"/>
                <w:lang w:eastAsia="zh-CN"/>
              </w:rPr>
              <w:t>告文</w:t>
            </w:r>
            <w:r>
              <w:rPr>
                <w:rFonts w:hint="eastAsia" w:asciiTheme="minorEastAsia" w:hAnsiTheme="minorEastAsia" w:eastAsiaTheme="minorEastAsia"/>
                <w:sz w:val="24"/>
                <w:szCs w:val="28"/>
              </w:rPr>
              <w:t>件规定并加盖</w:t>
            </w:r>
            <w:r>
              <w:rPr>
                <w:rFonts w:hint="eastAsia" w:ascii="宋体" w:hAnsi="宋体" w:eastAsia="宋体"/>
                <w:sz w:val="24"/>
                <w:szCs w:val="28"/>
              </w:rPr>
              <w:t>供应商</w:t>
            </w:r>
            <w:r>
              <w:rPr>
                <w:rFonts w:hint="eastAsia" w:asciiTheme="minorEastAsia" w:hAnsiTheme="minorEastAsia" w:eastAsiaTheme="minorEastAsia"/>
                <w:sz w:val="24"/>
                <w:szCs w:val="28"/>
              </w:rPr>
              <w:t>公章</w:t>
            </w:r>
          </w:p>
        </w:tc>
        <w:tc>
          <w:tcPr>
            <w:tcW w:w="2033" w:type="pct"/>
            <w:tcBorders>
              <w:bottom w:val="single" w:color="auto" w:sz="4" w:space="0"/>
            </w:tcBorders>
            <w:vAlign w:val="center"/>
          </w:tcPr>
          <w:p w14:paraId="001A6892">
            <w:pPr>
              <w:adjustRightInd w:val="0"/>
              <w:snapToGrid w:val="0"/>
              <w:spacing w:line="360" w:lineRule="auto"/>
              <w:ind w:right="-10"/>
              <w:jc w:val="left"/>
              <w:rPr>
                <w:rFonts w:hint="eastAsia" w:ascii="宋体" w:hAnsi="宋体" w:eastAsia="宋体"/>
                <w:sz w:val="24"/>
                <w:szCs w:val="28"/>
              </w:rPr>
            </w:pPr>
            <w:r>
              <w:rPr>
                <w:rFonts w:hint="eastAsia" w:ascii="宋体" w:hAnsi="宋体" w:eastAsia="宋体"/>
                <w:sz w:val="24"/>
                <w:szCs w:val="28"/>
              </w:rPr>
              <w:t>提供响应函</w:t>
            </w:r>
          </w:p>
        </w:tc>
      </w:tr>
      <w:tr w14:paraId="3AC7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40D08C4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4</w:t>
            </w:r>
          </w:p>
        </w:tc>
        <w:tc>
          <w:tcPr>
            <w:tcW w:w="1096" w:type="pct"/>
            <w:tcBorders>
              <w:bottom w:val="single" w:color="auto" w:sz="4" w:space="0"/>
            </w:tcBorders>
            <w:vAlign w:val="center"/>
          </w:tcPr>
          <w:p w14:paraId="1BA30594">
            <w:pPr>
              <w:spacing w:after="50" w:line="360" w:lineRule="auto"/>
              <w:ind w:right="-10"/>
              <w:jc w:val="center"/>
              <w:rPr>
                <w:rFonts w:hint="eastAsia" w:ascii="宋体" w:hAnsi="宋体" w:eastAsia="宋体"/>
                <w:sz w:val="24"/>
                <w:szCs w:val="18"/>
              </w:rPr>
            </w:pPr>
            <w:r>
              <w:rPr>
                <w:rFonts w:hint="eastAsia" w:ascii="宋体" w:hAnsi="宋体" w:eastAsia="宋体"/>
                <w:sz w:val="24"/>
                <w:szCs w:val="28"/>
              </w:rPr>
              <w:t>无重大违法记录声明函、无不良信用记录声明函</w:t>
            </w:r>
          </w:p>
        </w:tc>
        <w:tc>
          <w:tcPr>
            <w:tcW w:w="1452" w:type="pct"/>
            <w:tcBorders>
              <w:bottom w:val="single" w:color="auto" w:sz="4" w:space="0"/>
            </w:tcBorders>
            <w:vAlign w:val="center"/>
          </w:tcPr>
          <w:p w14:paraId="5819ACC5">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格式、填写要求符合招标公告规定并加盖供应商</w:t>
            </w:r>
            <w:r>
              <w:rPr>
                <w:rFonts w:hint="eastAsia" w:asciiTheme="minorEastAsia" w:hAnsiTheme="minorEastAsia" w:eastAsiaTheme="minorEastAsia"/>
                <w:sz w:val="24"/>
                <w:szCs w:val="28"/>
              </w:rPr>
              <w:t>公章</w:t>
            </w:r>
          </w:p>
        </w:tc>
        <w:tc>
          <w:tcPr>
            <w:tcW w:w="2033" w:type="pct"/>
            <w:tcBorders>
              <w:bottom w:val="single" w:color="auto" w:sz="4" w:space="0"/>
            </w:tcBorders>
            <w:vAlign w:val="center"/>
          </w:tcPr>
          <w:p w14:paraId="6C05EFA2">
            <w:pPr>
              <w:adjustRightInd w:val="0"/>
              <w:snapToGrid w:val="0"/>
              <w:spacing w:line="360" w:lineRule="auto"/>
              <w:ind w:right="-10"/>
              <w:jc w:val="left"/>
              <w:rPr>
                <w:rFonts w:hint="eastAsia" w:ascii="宋体" w:hAnsi="宋体" w:eastAsia="宋体"/>
                <w:sz w:val="24"/>
              </w:rPr>
            </w:pPr>
            <w:r>
              <w:rPr>
                <w:rFonts w:hint="eastAsia" w:ascii="宋体" w:hAnsi="宋体" w:eastAsia="宋体"/>
                <w:sz w:val="24"/>
                <w:szCs w:val="28"/>
              </w:rPr>
              <w:t>提供无重大违法记录声明函、无不良信用记录声明函</w:t>
            </w:r>
          </w:p>
        </w:tc>
      </w:tr>
      <w:tr w14:paraId="2B07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0245480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5</w:t>
            </w:r>
          </w:p>
        </w:tc>
        <w:tc>
          <w:tcPr>
            <w:tcW w:w="1096" w:type="pct"/>
            <w:tcBorders>
              <w:bottom w:val="single" w:color="auto" w:sz="4" w:space="0"/>
            </w:tcBorders>
            <w:vAlign w:val="center"/>
          </w:tcPr>
          <w:p w14:paraId="36E85B61">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授权书</w:t>
            </w:r>
          </w:p>
        </w:tc>
        <w:tc>
          <w:tcPr>
            <w:tcW w:w="1452" w:type="pct"/>
            <w:tcBorders>
              <w:bottom w:val="single" w:color="auto" w:sz="4" w:space="0"/>
            </w:tcBorders>
            <w:vAlign w:val="center"/>
          </w:tcPr>
          <w:p w14:paraId="0B066C3D">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格式、填写要求符合招标公告规定并加盖供应商</w:t>
            </w:r>
            <w:r>
              <w:rPr>
                <w:rFonts w:hint="eastAsia" w:asciiTheme="minorEastAsia" w:hAnsiTheme="minorEastAsia" w:eastAsiaTheme="minorEastAsia"/>
                <w:sz w:val="24"/>
                <w:szCs w:val="28"/>
              </w:rPr>
              <w:t>公章</w:t>
            </w:r>
          </w:p>
        </w:tc>
        <w:tc>
          <w:tcPr>
            <w:tcW w:w="2033" w:type="pct"/>
            <w:tcBorders>
              <w:bottom w:val="single" w:color="auto" w:sz="4" w:space="0"/>
            </w:tcBorders>
            <w:vAlign w:val="center"/>
          </w:tcPr>
          <w:p w14:paraId="10731C08">
            <w:pPr>
              <w:adjustRightInd w:val="0"/>
              <w:snapToGrid w:val="0"/>
              <w:spacing w:line="360" w:lineRule="auto"/>
              <w:ind w:right="-10"/>
              <w:jc w:val="left"/>
              <w:rPr>
                <w:rFonts w:hint="eastAsia" w:ascii="宋体" w:hAnsi="宋体" w:eastAsia="宋体"/>
                <w:sz w:val="24"/>
              </w:rPr>
            </w:pPr>
            <w:r>
              <w:rPr>
                <w:rFonts w:hint="eastAsia" w:asciiTheme="minorEastAsia" w:hAnsiTheme="minorEastAsia" w:eastAsiaTheme="minorEastAsia"/>
                <w:sz w:val="24"/>
              </w:rPr>
              <w:t>提供授权书及授权代表身份证明扫描件或影印件；法定代表人参加招标的无需提供授权书，只需提供身份证明扫描件或影印件</w:t>
            </w:r>
          </w:p>
        </w:tc>
      </w:tr>
      <w:tr w14:paraId="37C7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4A19A29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6</w:t>
            </w:r>
          </w:p>
        </w:tc>
        <w:tc>
          <w:tcPr>
            <w:tcW w:w="1096" w:type="pct"/>
            <w:tcBorders>
              <w:bottom w:val="single" w:color="auto" w:sz="4" w:space="0"/>
            </w:tcBorders>
            <w:vAlign w:val="center"/>
          </w:tcPr>
          <w:p w14:paraId="54800C7E">
            <w:pPr>
              <w:spacing w:after="50" w:line="360" w:lineRule="auto"/>
              <w:ind w:right="-10"/>
              <w:jc w:val="center"/>
              <w:rPr>
                <w:rFonts w:hint="eastAsia" w:ascii="宋体" w:hAnsi="宋体" w:eastAsiaTheme="minorEastAsia"/>
                <w:sz w:val="24"/>
                <w:szCs w:val="28"/>
              </w:rPr>
            </w:pPr>
            <w:r>
              <w:rPr>
                <w:rFonts w:hint="eastAsia" w:asciiTheme="minorEastAsia" w:hAnsiTheme="minorEastAsia" w:eastAsiaTheme="minorEastAsia"/>
                <w:sz w:val="24"/>
                <w:szCs w:val="28"/>
              </w:rPr>
              <w:t>商务响应表</w:t>
            </w:r>
          </w:p>
        </w:tc>
        <w:tc>
          <w:tcPr>
            <w:tcW w:w="1452" w:type="pct"/>
            <w:tcBorders>
              <w:bottom w:val="single" w:color="auto" w:sz="4" w:space="0"/>
            </w:tcBorders>
            <w:vAlign w:val="center"/>
          </w:tcPr>
          <w:p w14:paraId="4F6C2519">
            <w:pPr>
              <w:spacing w:after="50" w:line="360" w:lineRule="auto"/>
              <w:ind w:right="-10"/>
              <w:jc w:val="center"/>
              <w:rPr>
                <w:rFonts w:hint="eastAsia" w:ascii="宋体" w:hAnsi="宋体" w:eastAsia="宋体"/>
                <w:sz w:val="24"/>
                <w:szCs w:val="28"/>
              </w:rPr>
            </w:pPr>
            <w:r>
              <w:rPr>
                <w:rFonts w:hint="eastAsia" w:asciiTheme="minorEastAsia" w:hAnsiTheme="minorEastAsia" w:eastAsiaTheme="minorEastAsia"/>
                <w:sz w:val="24"/>
                <w:szCs w:val="28"/>
              </w:rPr>
              <w:t>符合招标公告采购需求中付款方式、服务期限、服务地点的要求</w:t>
            </w:r>
          </w:p>
        </w:tc>
        <w:tc>
          <w:tcPr>
            <w:tcW w:w="2033" w:type="pct"/>
            <w:tcBorders>
              <w:bottom w:val="single" w:color="auto" w:sz="4" w:space="0"/>
            </w:tcBorders>
            <w:vAlign w:val="center"/>
          </w:tcPr>
          <w:p w14:paraId="02D81C6F">
            <w:pPr>
              <w:adjustRightInd w:val="0"/>
              <w:snapToGrid w:val="0"/>
              <w:spacing w:line="360" w:lineRule="auto"/>
              <w:ind w:right="-10"/>
              <w:jc w:val="left"/>
              <w:rPr>
                <w:rFonts w:hint="eastAsia" w:ascii="宋体" w:hAnsi="宋体" w:eastAsiaTheme="minorEastAsia"/>
                <w:sz w:val="24"/>
              </w:rPr>
            </w:pPr>
            <w:r>
              <w:rPr>
                <w:rFonts w:hint="eastAsia" w:asciiTheme="minorEastAsia" w:hAnsiTheme="minorEastAsia" w:eastAsiaTheme="minorEastAsia"/>
                <w:sz w:val="24"/>
              </w:rPr>
              <w:t>提供商务响应表</w:t>
            </w:r>
          </w:p>
        </w:tc>
      </w:tr>
    </w:tbl>
    <w:p w14:paraId="79CBBE2A">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初审指标通过标准：</w:t>
      </w:r>
      <w:r>
        <w:rPr>
          <w:rFonts w:hint="eastAsia" w:ascii="仿宋_GB2312" w:hAnsi="仿宋_GB2312" w:eastAsia="仿宋_GB2312" w:cs="仿宋_GB2312"/>
          <w:sz w:val="32"/>
          <w:szCs w:val="32"/>
        </w:rPr>
        <w:t>供应商必须通过初审表中的全部评审指标。</w:t>
      </w:r>
    </w:p>
    <w:p w14:paraId="184B464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综合评分</w:t>
      </w:r>
    </w:p>
    <w:p w14:paraId="1AD4A0F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评审专家组按照下表对进入综合评分的所有供应商的响应文件进行综合评分。</w:t>
      </w:r>
    </w:p>
    <w:p w14:paraId="36FF6D2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Theme="minorEastAsia" w:hAnsiTheme="minorEastAsia" w:eastAsiaTheme="minorEastAsia"/>
          <w:sz w:val="24"/>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本项目综合评分满分为100分，其中：技术资信分值占总分值的权重为70%，价格分值占总分值的权重为30%。具体评分细则如下：</w:t>
      </w:r>
    </w:p>
    <w:tbl>
      <w:tblPr>
        <w:tblStyle w:val="1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94"/>
        <w:gridCol w:w="5950"/>
        <w:gridCol w:w="935"/>
      </w:tblGrid>
      <w:tr w14:paraId="7D4B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088100C8">
            <w:pPr>
              <w:widowControl/>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类别</w:t>
            </w:r>
          </w:p>
        </w:tc>
        <w:tc>
          <w:tcPr>
            <w:tcW w:w="1094" w:type="dxa"/>
            <w:vAlign w:val="center"/>
          </w:tcPr>
          <w:p w14:paraId="68539075">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评分内容</w:t>
            </w:r>
          </w:p>
        </w:tc>
        <w:tc>
          <w:tcPr>
            <w:tcW w:w="5950" w:type="dxa"/>
            <w:vAlign w:val="center"/>
          </w:tcPr>
          <w:p w14:paraId="68D9C4EC">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评分标准</w:t>
            </w:r>
          </w:p>
        </w:tc>
        <w:tc>
          <w:tcPr>
            <w:tcW w:w="935" w:type="dxa"/>
            <w:vAlign w:val="center"/>
          </w:tcPr>
          <w:p w14:paraId="05648B92">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r>
      <w:tr w14:paraId="5EB2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Merge w:val="restart"/>
            <w:vAlign w:val="center"/>
          </w:tcPr>
          <w:p w14:paraId="68D1B404">
            <w:pPr>
              <w:widowControl/>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技术部分（70分）</w:t>
            </w:r>
          </w:p>
        </w:tc>
        <w:tc>
          <w:tcPr>
            <w:tcW w:w="1094" w:type="dxa"/>
            <w:vAlign w:val="center"/>
          </w:tcPr>
          <w:p w14:paraId="73A0F40D">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满足货物指标要求情况</w:t>
            </w:r>
          </w:p>
        </w:tc>
        <w:tc>
          <w:tcPr>
            <w:tcW w:w="5950" w:type="dxa"/>
            <w:vAlign w:val="center"/>
          </w:tcPr>
          <w:p w14:paraId="32A1173A">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货物需求中技术参数进行评分：</w:t>
            </w:r>
          </w:p>
          <w:p w14:paraId="6904EDB3">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完全满足招标要求的得基本分</w:t>
            </w: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分</w:t>
            </w:r>
          </w:p>
          <w:p w14:paraId="7D1FDFDD">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技术参数中标注★号的条款，每一条负偏离的扣</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分，扣完为止</w:t>
            </w:r>
          </w:p>
          <w:p w14:paraId="4ADC1A72">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未标注★号的条款，每一条负偏离的扣</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分，扣完为止。</w:t>
            </w:r>
          </w:p>
          <w:p w14:paraId="4F0AAF43">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注：以投标响应表和“货物指标要求”中证明材料要求作为评审依据。</w:t>
            </w:r>
          </w:p>
        </w:tc>
        <w:tc>
          <w:tcPr>
            <w:tcW w:w="935" w:type="dxa"/>
            <w:vAlign w:val="center"/>
          </w:tcPr>
          <w:p w14:paraId="67F28A5C">
            <w:pPr>
              <w:pStyle w:val="7"/>
              <w:spacing w:line="360" w:lineRule="auto"/>
              <w:ind w:firstLine="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分</w:t>
            </w:r>
          </w:p>
        </w:tc>
      </w:tr>
      <w:tr w14:paraId="368C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Merge w:val="continue"/>
            <w:vAlign w:val="center"/>
          </w:tcPr>
          <w:p w14:paraId="2EE5314F">
            <w:pPr>
              <w:pStyle w:val="7"/>
              <w:spacing w:line="360" w:lineRule="auto"/>
              <w:ind w:firstLine="0"/>
              <w:jc w:val="left"/>
              <w:rPr>
                <w:rFonts w:hint="eastAsia" w:ascii="宋体" w:hAnsi="宋体" w:eastAsia="宋体" w:cs="宋体"/>
                <w:color w:val="000000"/>
                <w:kern w:val="0"/>
                <w:sz w:val="24"/>
                <w:szCs w:val="24"/>
                <w:lang w:bidi="ar"/>
              </w:rPr>
            </w:pPr>
          </w:p>
        </w:tc>
        <w:tc>
          <w:tcPr>
            <w:tcW w:w="1094" w:type="dxa"/>
            <w:vAlign w:val="center"/>
          </w:tcPr>
          <w:p w14:paraId="7A3FB367">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实施方案</w:t>
            </w:r>
          </w:p>
          <w:p w14:paraId="78D27BB6">
            <w:pPr>
              <w:pStyle w:val="7"/>
              <w:spacing w:line="360" w:lineRule="auto"/>
              <w:ind w:firstLine="0"/>
              <w:jc w:val="left"/>
              <w:rPr>
                <w:rFonts w:hint="eastAsia" w:ascii="宋体" w:hAnsi="宋体" w:eastAsia="宋体" w:cs="宋体"/>
                <w:color w:val="000000"/>
                <w:kern w:val="0"/>
                <w:sz w:val="24"/>
                <w:szCs w:val="24"/>
                <w:lang w:bidi="ar"/>
              </w:rPr>
            </w:pPr>
          </w:p>
        </w:tc>
        <w:tc>
          <w:tcPr>
            <w:tcW w:w="5950" w:type="dxa"/>
            <w:vAlign w:val="center"/>
          </w:tcPr>
          <w:p w14:paraId="787E886E">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报价文件中提供项目实施方案：</w:t>
            </w:r>
          </w:p>
          <w:p w14:paraId="2944D9FA">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1.实施方案针对性强、本次采购的设备与原系统对接方案完全符合实际情况，方案</w:t>
            </w:r>
            <w:r>
              <w:rPr>
                <w:rFonts w:hint="eastAsia" w:ascii="宋体" w:hAnsi="宋体" w:eastAsia="宋体" w:cs="宋体"/>
                <w:color w:val="000000"/>
                <w:kern w:val="0"/>
                <w:sz w:val="24"/>
                <w:szCs w:val="24"/>
                <w:lang w:eastAsia="zh-CN" w:bidi="ar"/>
              </w:rPr>
              <w:t>内容翔实</w:t>
            </w:r>
            <w:r>
              <w:rPr>
                <w:rFonts w:hint="eastAsia" w:ascii="宋体" w:hAnsi="宋体" w:eastAsia="宋体" w:cs="宋体"/>
                <w:color w:val="000000"/>
                <w:kern w:val="0"/>
                <w:sz w:val="24"/>
                <w:szCs w:val="24"/>
                <w:lang w:bidi="ar"/>
              </w:rPr>
              <w:t>、针对性强得10分。</w:t>
            </w:r>
          </w:p>
          <w:p w14:paraId="516B0298">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2.方案内容基本清晰，有针对性、基本可行得5-7分。</w:t>
            </w:r>
          </w:p>
          <w:p w14:paraId="114F5298">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3.针对性较一般、可操作性不强得3分。</w:t>
            </w:r>
          </w:p>
          <w:p w14:paraId="0B7F3729">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4.差或未提供相关内容的不得分。</w:t>
            </w:r>
          </w:p>
        </w:tc>
        <w:tc>
          <w:tcPr>
            <w:tcW w:w="935" w:type="dxa"/>
            <w:vAlign w:val="center"/>
          </w:tcPr>
          <w:p w14:paraId="2A73C656">
            <w:pPr>
              <w:pStyle w:val="7"/>
              <w:spacing w:line="360" w:lineRule="auto"/>
              <w:ind w:firstLine="0"/>
              <w:jc w:val="center"/>
              <w:rPr>
                <w:rFonts w:hint="eastAsia" w:ascii="宋体" w:hAnsi="宋体" w:eastAsia="宋体" w:cs="宋体"/>
                <w:kern w:val="0"/>
                <w:sz w:val="24"/>
                <w:szCs w:val="24"/>
              </w:rPr>
            </w:pPr>
            <w:r>
              <w:rPr>
                <w:rFonts w:hint="eastAsia" w:ascii="宋体" w:hAnsi="宋体" w:eastAsia="宋体" w:cs="宋体"/>
                <w:kern w:val="0"/>
                <w:sz w:val="24"/>
                <w:szCs w:val="24"/>
              </w:rPr>
              <w:t>10分</w:t>
            </w:r>
          </w:p>
        </w:tc>
      </w:tr>
      <w:tr w14:paraId="7583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vAlign w:val="center"/>
          </w:tcPr>
          <w:p w14:paraId="59AE6730">
            <w:pPr>
              <w:spacing w:line="360" w:lineRule="auto"/>
              <w:jc w:val="left"/>
              <w:rPr>
                <w:rFonts w:hint="eastAsia" w:ascii="宋体" w:hAnsi="宋体" w:eastAsia="宋体" w:cs="宋体"/>
                <w:color w:val="000000"/>
                <w:kern w:val="0"/>
                <w:sz w:val="24"/>
                <w:szCs w:val="24"/>
                <w:lang w:bidi="ar"/>
              </w:rPr>
            </w:pPr>
          </w:p>
        </w:tc>
        <w:tc>
          <w:tcPr>
            <w:tcW w:w="1094" w:type="dxa"/>
            <w:vAlign w:val="center"/>
          </w:tcPr>
          <w:p w14:paraId="1501112D">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质量保证措施、进度保证措施</w:t>
            </w:r>
          </w:p>
        </w:tc>
        <w:tc>
          <w:tcPr>
            <w:tcW w:w="5950" w:type="dxa"/>
            <w:vAlign w:val="center"/>
          </w:tcPr>
          <w:p w14:paraId="34373979">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1.有详尽的质量保证措施、进度保证措施和实施过程的技术支持保障措施，且措施合理、可行、先进:承诺项目负责人驻扎项目现场，质量保证措施（需列详细措施）合理、完整得10分                          </w:t>
            </w:r>
          </w:p>
          <w:p w14:paraId="45A4A0FC">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2.上述措施较合理、内容较完整得5-7分；</w:t>
            </w:r>
          </w:p>
          <w:p w14:paraId="57C0CF11">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3.上述措施有待完善的得3分；</w:t>
            </w:r>
          </w:p>
          <w:p w14:paraId="4DE0EE3C">
            <w:pPr>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4.上述措施差或不承诺项目负责人驻扎现场或未提供的不得分。</w:t>
            </w:r>
          </w:p>
        </w:tc>
        <w:tc>
          <w:tcPr>
            <w:tcW w:w="935" w:type="dxa"/>
            <w:vAlign w:val="center"/>
          </w:tcPr>
          <w:p w14:paraId="492041A6">
            <w:pPr>
              <w:pStyle w:val="7"/>
              <w:spacing w:line="360" w:lineRule="auto"/>
              <w:ind w:firstLine="0"/>
              <w:jc w:val="center"/>
              <w:rPr>
                <w:rFonts w:hint="eastAsia" w:ascii="宋体" w:hAnsi="宋体" w:eastAsia="宋体" w:cs="宋体"/>
                <w:kern w:val="0"/>
                <w:sz w:val="24"/>
                <w:szCs w:val="24"/>
              </w:rPr>
            </w:pPr>
            <w:r>
              <w:rPr>
                <w:rFonts w:hint="eastAsia" w:ascii="宋体" w:hAnsi="宋体" w:eastAsia="宋体" w:cs="宋体"/>
                <w:kern w:val="0"/>
                <w:sz w:val="24"/>
                <w:szCs w:val="24"/>
              </w:rPr>
              <w:t>10分</w:t>
            </w:r>
          </w:p>
        </w:tc>
      </w:tr>
      <w:tr w14:paraId="0E00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vAlign w:val="center"/>
          </w:tcPr>
          <w:p w14:paraId="57F15F4F">
            <w:pPr>
              <w:widowControl/>
              <w:spacing w:line="360" w:lineRule="auto"/>
              <w:jc w:val="left"/>
              <w:rPr>
                <w:rFonts w:hint="eastAsia" w:ascii="宋体" w:hAnsi="宋体" w:eastAsia="宋体" w:cs="宋体"/>
                <w:color w:val="000000"/>
                <w:kern w:val="0"/>
                <w:sz w:val="24"/>
                <w:szCs w:val="24"/>
                <w:lang w:bidi="ar"/>
              </w:rPr>
            </w:pPr>
          </w:p>
        </w:tc>
        <w:tc>
          <w:tcPr>
            <w:tcW w:w="1094" w:type="dxa"/>
            <w:vAlign w:val="center"/>
          </w:tcPr>
          <w:p w14:paraId="2DA65289">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售后服务方案</w:t>
            </w:r>
          </w:p>
        </w:tc>
        <w:tc>
          <w:tcPr>
            <w:tcW w:w="5950" w:type="dxa"/>
            <w:vAlign w:val="center"/>
          </w:tcPr>
          <w:p w14:paraId="68550D87">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售后服务方案：对故障响应、应急保障及技术力量保障等方面的服务内容和保修期内的7*24小时的售后服务承诺；1 小时内响应，</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 xml:space="preserve"> 小时内到达现场，</w:t>
            </w: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bidi="ar"/>
              </w:rPr>
              <w:t xml:space="preserve">小时以内解决问题，无节假日限制。在满足上述要求的基础上，根据投标人售后服务方案的完备性、及时性由评标委员会进行综合评分： </w:t>
            </w:r>
          </w:p>
          <w:p w14:paraId="21F4F585">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（1）上述方案内容完善，科学合理，及时性强的得10分； </w:t>
            </w:r>
          </w:p>
          <w:p w14:paraId="4D7BC45C">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（2）上述方案内容较完善，及时性较强的得5-7分</w:t>
            </w:r>
          </w:p>
          <w:p w14:paraId="2028DD7B">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（3）上述内容有待完善，及时性有待提高</w:t>
            </w:r>
            <w:r>
              <w:rPr>
                <w:rFonts w:hint="eastAsia" w:ascii="宋体" w:hAnsi="宋体" w:eastAsia="宋体" w:cs="宋体"/>
                <w:color w:val="000000"/>
                <w:kern w:val="0"/>
                <w:sz w:val="24"/>
                <w:szCs w:val="24"/>
                <w:lang w:eastAsia="zh-CN" w:bidi="ar"/>
              </w:rPr>
              <w:t>的</w:t>
            </w:r>
            <w:r>
              <w:rPr>
                <w:rFonts w:hint="eastAsia" w:ascii="宋体" w:hAnsi="宋体" w:eastAsia="宋体" w:cs="宋体"/>
                <w:color w:val="000000"/>
                <w:kern w:val="0"/>
                <w:sz w:val="24"/>
                <w:szCs w:val="24"/>
                <w:lang w:bidi="ar"/>
              </w:rPr>
              <w:t>得3分</w:t>
            </w:r>
          </w:p>
          <w:p w14:paraId="60B92636">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（4）上述内容差或未提供不得分。</w:t>
            </w:r>
          </w:p>
        </w:tc>
        <w:tc>
          <w:tcPr>
            <w:tcW w:w="935" w:type="dxa"/>
            <w:vAlign w:val="center"/>
          </w:tcPr>
          <w:p w14:paraId="39FBDAA8">
            <w:pPr>
              <w:pStyle w:val="7"/>
              <w:spacing w:line="360" w:lineRule="auto"/>
              <w:ind w:firstLine="0"/>
              <w:jc w:val="center"/>
              <w:rPr>
                <w:rFonts w:hint="eastAsia" w:ascii="宋体" w:hAnsi="宋体" w:eastAsia="宋体" w:cs="宋体"/>
                <w:kern w:val="0"/>
                <w:sz w:val="24"/>
                <w:szCs w:val="24"/>
              </w:rPr>
            </w:pPr>
            <w:r>
              <w:rPr>
                <w:rFonts w:hint="eastAsia" w:ascii="宋体" w:hAnsi="宋体" w:eastAsia="宋体" w:cs="宋体"/>
                <w:kern w:val="0"/>
                <w:sz w:val="24"/>
                <w:szCs w:val="24"/>
              </w:rPr>
              <w:t>10分</w:t>
            </w:r>
          </w:p>
        </w:tc>
      </w:tr>
      <w:tr w14:paraId="1167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Merge w:val="continue"/>
            <w:vAlign w:val="center"/>
          </w:tcPr>
          <w:p w14:paraId="7D3C8D0B">
            <w:pPr>
              <w:widowControl/>
              <w:spacing w:line="360" w:lineRule="auto"/>
              <w:jc w:val="left"/>
              <w:rPr>
                <w:rFonts w:hint="eastAsia" w:ascii="宋体" w:hAnsi="宋体" w:eastAsia="宋体" w:cs="宋体"/>
                <w:color w:val="000000"/>
                <w:kern w:val="0"/>
                <w:sz w:val="24"/>
                <w:szCs w:val="24"/>
                <w:lang w:val="en-US" w:eastAsia="zh-CN" w:bidi="ar"/>
              </w:rPr>
            </w:pPr>
          </w:p>
        </w:tc>
        <w:tc>
          <w:tcPr>
            <w:tcW w:w="1094" w:type="dxa"/>
            <w:vAlign w:val="center"/>
          </w:tcPr>
          <w:p w14:paraId="705B6C72">
            <w:pPr>
              <w:widowControl/>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体系认证</w:t>
            </w:r>
          </w:p>
        </w:tc>
        <w:tc>
          <w:tcPr>
            <w:tcW w:w="5950" w:type="dxa"/>
            <w:vAlign w:val="center"/>
          </w:tcPr>
          <w:p w14:paraId="3F7A6A66">
            <w:pPr>
              <w:spacing w:line="360" w:lineRule="auto"/>
              <w:jc w:val="both"/>
              <w:rPr>
                <w:rFonts w:hint="eastAsia" w:ascii="宋体" w:hAnsi="宋体" w:eastAsia="宋体" w:cs="宋体"/>
                <w:bCs/>
                <w:sz w:val="24"/>
                <w:szCs w:val="24"/>
                <w:highlight w:val="yellow"/>
                <w:vertAlign w:val="baseline"/>
                <w:lang w:val="en-US" w:eastAsia="zh-CN"/>
              </w:rPr>
            </w:pPr>
            <w:r>
              <w:rPr>
                <w:rFonts w:hint="eastAsia" w:ascii="宋体" w:hAnsi="宋体" w:eastAsia="宋体" w:cs="宋体"/>
                <w:bCs/>
                <w:sz w:val="24"/>
                <w:szCs w:val="24"/>
                <w:vertAlign w:val="baseline"/>
                <w:lang w:val="en-US" w:eastAsia="zh-CN"/>
              </w:rPr>
              <w:t>（1）供应商所投产品制造商具体经中国国家认证认可的监督管理委员会认证机构颁发的有效质量管理体系认证证书.环境管理体系认证证书.职业健康安全管理体系认证，每提供一项得2分,满分6分；</w:t>
            </w:r>
          </w:p>
          <w:p w14:paraId="57A2D183">
            <w:pPr>
              <w:widowControl/>
              <w:spacing w:line="360" w:lineRule="auto"/>
              <w:jc w:val="left"/>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注:响应文件须提供证书扫描件(或影印件)</w:t>
            </w:r>
          </w:p>
        </w:tc>
        <w:tc>
          <w:tcPr>
            <w:tcW w:w="935" w:type="dxa"/>
            <w:vAlign w:val="center"/>
          </w:tcPr>
          <w:p w14:paraId="4245F8D1">
            <w:pPr>
              <w:pStyle w:val="7"/>
              <w:spacing w:line="360" w:lineRule="auto"/>
              <w:ind w:firstLine="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分</w:t>
            </w:r>
          </w:p>
        </w:tc>
      </w:tr>
      <w:tr w14:paraId="7841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Merge w:val="continue"/>
            <w:vAlign w:val="center"/>
          </w:tcPr>
          <w:p w14:paraId="5A4E44AF">
            <w:pPr>
              <w:widowControl/>
              <w:spacing w:line="360" w:lineRule="auto"/>
              <w:jc w:val="left"/>
              <w:rPr>
                <w:rFonts w:hint="eastAsia" w:ascii="宋体" w:hAnsi="宋体" w:eastAsia="宋体" w:cs="宋体"/>
                <w:color w:val="000000"/>
                <w:kern w:val="0"/>
                <w:sz w:val="24"/>
                <w:szCs w:val="24"/>
                <w:lang w:val="en-US" w:eastAsia="zh-CN" w:bidi="ar"/>
              </w:rPr>
            </w:pPr>
          </w:p>
        </w:tc>
        <w:tc>
          <w:tcPr>
            <w:tcW w:w="1094" w:type="dxa"/>
            <w:vAlign w:val="center"/>
          </w:tcPr>
          <w:p w14:paraId="6C68B419">
            <w:pPr>
              <w:widowControl/>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承诺</w:t>
            </w:r>
          </w:p>
        </w:tc>
        <w:tc>
          <w:tcPr>
            <w:tcW w:w="5950" w:type="dxa"/>
            <w:vAlign w:val="center"/>
          </w:tcPr>
          <w:p w14:paraId="45632A4A">
            <w:pPr>
              <w:widowControl/>
              <w:spacing w:line="360" w:lineRule="auto"/>
              <w:jc w:val="left"/>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供应商响应产品优于招标所需参数要求或服务承诺的，由供应商提供证明材料，评审综合评定后，每优于招标要求一项得3分，满分9分；</w:t>
            </w:r>
          </w:p>
        </w:tc>
        <w:tc>
          <w:tcPr>
            <w:tcW w:w="935" w:type="dxa"/>
            <w:vAlign w:val="center"/>
          </w:tcPr>
          <w:p w14:paraId="2AFC2F2E">
            <w:pPr>
              <w:pStyle w:val="7"/>
              <w:spacing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bookmarkStart w:id="0" w:name="_GoBack"/>
            <w:bookmarkEnd w:id="0"/>
            <w:r>
              <w:rPr>
                <w:rFonts w:hint="eastAsia" w:ascii="宋体" w:hAnsi="宋体" w:eastAsia="宋体" w:cs="宋体"/>
                <w:kern w:val="0"/>
                <w:sz w:val="24"/>
                <w:szCs w:val="24"/>
                <w:lang w:val="en-US" w:eastAsia="zh-CN"/>
              </w:rPr>
              <w:t>分</w:t>
            </w:r>
          </w:p>
        </w:tc>
      </w:tr>
      <w:tr w14:paraId="1A8C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374741EF">
            <w:pPr>
              <w:pStyle w:val="7"/>
              <w:spacing w:line="360" w:lineRule="auto"/>
              <w:ind w:firstLine="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商务部分（30分）</w:t>
            </w:r>
          </w:p>
        </w:tc>
        <w:tc>
          <w:tcPr>
            <w:tcW w:w="1094" w:type="dxa"/>
            <w:vAlign w:val="center"/>
          </w:tcPr>
          <w:p w14:paraId="28DCB16C">
            <w:pPr>
              <w:pStyle w:val="7"/>
              <w:spacing w:line="360" w:lineRule="auto"/>
              <w:ind w:firstLine="0"/>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5950" w:type="dxa"/>
            <w:vAlign w:val="center"/>
          </w:tcPr>
          <w:p w14:paraId="358F3BC6">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价格分统一采用低价优先法，即满足招标文件要求且投标价格最低的投标报价为评标基准价，其价格分为满分 </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 分。其他投标供应商的价格分统一按照下列公式计算：投标报价得分＝（评标基准价/投标报价）×</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0％×100</w:t>
            </w:r>
          </w:p>
        </w:tc>
        <w:tc>
          <w:tcPr>
            <w:tcW w:w="935" w:type="dxa"/>
            <w:vAlign w:val="center"/>
          </w:tcPr>
          <w:p w14:paraId="52F4F5F7">
            <w:pPr>
              <w:pStyle w:val="7"/>
              <w:spacing w:line="360" w:lineRule="auto"/>
              <w:ind w:firstLine="0"/>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r>
    </w:tbl>
    <w:p w14:paraId="56BC2C50">
      <w:pPr>
        <w:pStyle w:val="32"/>
      </w:pPr>
    </w:p>
    <w:p w14:paraId="005B458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分值汇总</w:t>
      </w:r>
    </w:p>
    <w:p w14:paraId="4886C6B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（一）</w:t>
      </w:r>
      <w:r>
        <w:rPr>
          <w:rFonts w:hint="eastAsia" w:ascii="仿宋_GB2312" w:hAnsi="仿宋_GB2312" w:eastAsia="仿宋_GB2312" w:cs="仿宋_GB2312"/>
          <w:sz w:val="32"/>
          <w:szCs w:val="32"/>
        </w:rPr>
        <w:t>评审专家组各成员应当独立对每个有效响应的文件进行评价、打分，然后汇总每个供应商每项评分因素的得分，再取各位评委评分之平均值，四舍五入保留至小数点后两位数，得到该供应商的技术资信分。</w:t>
      </w:r>
    </w:p>
    <w:p w14:paraId="7582850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（二）</w:t>
      </w:r>
      <w:r>
        <w:rPr>
          <w:rFonts w:hint="eastAsia" w:ascii="仿宋_GB2312" w:hAnsi="仿宋_GB2312" w:eastAsia="仿宋_GB2312" w:cs="仿宋_GB2312"/>
          <w:sz w:val="32"/>
          <w:szCs w:val="32"/>
        </w:rPr>
        <w:t>将每个供应商的技术资信分加上根据上述标准计算出的价格分，即为该供应商的综合总得分。</w:t>
      </w:r>
    </w:p>
    <w:p w14:paraId="2B35E29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3"/>
        <w:rPr>
          <w:rFonts w:hint="eastAsia" w:ascii="仿宋_GB2312" w:hAnsi="仿宋_GB2312" w:eastAsia="仿宋_GB2312" w:cs="仿宋_GB2312"/>
          <w:b/>
          <w:sz w:val="32"/>
          <w:szCs w:val="32"/>
        </w:rPr>
      </w:pPr>
      <w:r>
        <w:rPr>
          <w:rFonts w:hint="eastAsia" w:cs="仿宋_GB2312"/>
          <w:sz w:val="32"/>
          <w:szCs w:val="32"/>
          <w:lang w:val="en-US" w:eastAsia="zh-CN"/>
        </w:rPr>
        <w:t>（三）</w:t>
      </w:r>
      <w:r>
        <w:rPr>
          <w:rFonts w:hint="eastAsia" w:ascii="仿宋_GB2312" w:hAnsi="仿宋_GB2312" w:eastAsia="仿宋_GB2312" w:cs="仿宋_GB2312"/>
          <w:b/>
          <w:sz w:val="32"/>
          <w:szCs w:val="32"/>
        </w:rPr>
        <w:t>废标</w:t>
      </w:r>
    </w:p>
    <w:p w14:paraId="4D418EB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出现下列情形之一，将导致项目废标：</w:t>
      </w:r>
    </w:p>
    <w:p w14:paraId="670E067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1.</w:t>
      </w:r>
      <w:r>
        <w:rPr>
          <w:rFonts w:hint="eastAsia" w:ascii="仿宋_GB2312" w:hAnsi="仿宋_GB2312" w:eastAsia="仿宋_GB2312" w:cs="仿宋_GB2312"/>
          <w:sz w:val="32"/>
          <w:szCs w:val="32"/>
        </w:rPr>
        <w:t>有效供应商数量不足，导致本次评审缺乏竞争的；</w:t>
      </w:r>
    </w:p>
    <w:p w14:paraId="201AA4E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2.</w:t>
      </w:r>
      <w:r>
        <w:rPr>
          <w:rFonts w:hint="eastAsia" w:ascii="仿宋_GB2312" w:hAnsi="仿宋_GB2312" w:eastAsia="仿宋_GB2312" w:cs="仿宋_GB2312"/>
          <w:sz w:val="32"/>
          <w:szCs w:val="32"/>
        </w:rPr>
        <w:t>出现影响采购公正的违法、违规行为的；</w:t>
      </w:r>
    </w:p>
    <w:p w14:paraId="3933EE3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3.</w:t>
      </w:r>
      <w:r>
        <w:rPr>
          <w:rFonts w:hint="eastAsia" w:ascii="仿宋_GB2312" w:hAnsi="仿宋_GB2312" w:eastAsia="仿宋_GB2312" w:cs="仿宋_GB2312"/>
          <w:sz w:val="32"/>
          <w:szCs w:val="32"/>
        </w:rPr>
        <w:t>因重大变故，采购任务取消的；</w:t>
      </w:r>
    </w:p>
    <w:p w14:paraId="1846300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4.</w:t>
      </w:r>
      <w:r>
        <w:rPr>
          <w:rFonts w:hint="eastAsia" w:ascii="仿宋_GB2312" w:hAnsi="仿宋_GB2312" w:eastAsia="仿宋_GB2312" w:cs="仿宋_GB2312"/>
          <w:sz w:val="32"/>
          <w:szCs w:val="32"/>
        </w:rPr>
        <w:t>政府采购法律法规规定的其他情形。</w:t>
      </w:r>
    </w:p>
    <w:sectPr>
      <w:headerReference r:id="rId3" w:type="default"/>
      <w:footerReference r:id="rId4" w:type="default"/>
      <w:pgSz w:w="11910" w:h="16840"/>
      <w:pgMar w:top="1418" w:right="1418" w:bottom="1179" w:left="1418"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2A382F-8AFA-461D-8D3B-BAF6A38AE9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F860FB9-6799-46ED-BAEA-1402A2DE28BE}"/>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BB3A1541-F592-4292-BDC4-ED4C924304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B5AB">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8AA9E">
                          <w:pPr>
                            <w:pStyle w:val="11"/>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C8AA9E">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8047">
    <w:pPr>
      <w:rPr>
        <w:rFonts w:hint="eastAsia"/>
      </w:rPr>
    </w:pPr>
  </w:p>
  <w:p w14:paraId="7151B4E7">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ZDkzNGQ1NGMxNDBhYjU1MDc2MGI2ZjFlZmM0OGUifQ=="/>
  </w:docVars>
  <w:rsids>
    <w:rsidRoot w:val="00E04832"/>
    <w:rsid w:val="000331E3"/>
    <w:rsid w:val="0004519D"/>
    <w:rsid w:val="00090D38"/>
    <w:rsid w:val="00117C8F"/>
    <w:rsid w:val="00140208"/>
    <w:rsid w:val="00157A16"/>
    <w:rsid w:val="00164F86"/>
    <w:rsid w:val="001703EC"/>
    <w:rsid w:val="001A0303"/>
    <w:rsid w:val="001B2954"/>
    <w:rsid w:val="00200B91"/>
    <w:rsid w:val="002206A0"/>
    <w:rsid w:val="002315E8"/>
    <w:rsid w:val="002B08D3"/>
    <w:rsid w:val="002B6707"/>
    <w:rsid w:val="003C115F"/>
    <w:rsid w:val="003D4337"/>
    <w:rsid w:val="004319CC"/>
    <w:rsid w:val="00445C90"/>
    <w:rsid w:val="00446FF9"/>
    <w:rsid w:val="00465D25"/>
    <w:rsid w:val="004A3E16"/>
    <w:rsid w:val="004C3AC9"/>
    <w:rsid w:val="0051349F"/>
    <w:rsid w:val="0055716D"/>
    <w:rsid w:val="00563067"/>
    <w:rsid w:val="00595A5D"/>
    <w:rsid w:val="005D1C84"/>
    <w:rsid w:val="00605F6A"/>
    <w:rsid w:val="006573B0"/>
    <w:rsid w:val="00664B91"/>
    <w:rsid w:val="006B58D1"/>
    <w:rsid w:val="006C3D32"/>
    <w:rsid w:val="00731E11"/>
    <w:rsid w:val="00770806"/>
    <w:rsid w:val="00784840"/>
    <w:rsid w:val="008040FE"/>
    <w:rsid w:val="00823609"/>
    <w:rsid w:val="008329E6"/>
    <w:rsid w:val="00931234"/>
    <w:rsid w:val="00941A47"/>
    <w:rsid w:val="00973BB9"/>
    <w:rsid w:val="00A1349C"/>
    <w:rsid w:val="00A171DF"/>
    <w:rsid w:val="00A47B13"/>
    <w:rsid w:val="00AA1F86"/>
    <w:rsid w:val="00AC4C09"/>
    <w:rsid w:val="00AF0C79"/>
    <w:rsid w:val="00B44BE9"/>
    <w:rsid w:val="00B47A7F"/>
    <w:rsid w:val="00B6077D"/>
    <w:rsid w:val="00B848B2"/>
    <w:rsid w:val="00BA790F"/>
    <w:rsid w:val="00BC1556"/>
    <w:rsid w:val="00C869E6"/>
    <w:rsid w:val="00CD7B57"/>
    <w:rsid w:val="00D01A20"/>
    <w:rsid w:val="00D44555"/>
    <w:rsid w:val="00D70D75"/>
    <w:rsid w:val="00D9647D"/>
    <w:rsid w:val="00DC47F9"/>
    <w:rsid w:val="00DE4002"/>
    <w:rsid w:val="00DF1941"/>
    <w:rsid w:val="00E02E7A"/>
    <w:rsid w:val="00E04832"/>
    <w:rsid w:val="00E23777"/>
    <w:rsid w:val="00E72CED"/>
    <w:rsid w:val="00E86760"/>
    <w:rsid w:val="00F362C0"/>
    <w:rsid w:val="00F45124"/>
    <w:rsid w:val="00F72E5C"/>
    <w:rsid w:val="00F73851"/>
    <w:rsid w:val="00FC058E"/>
    <w:rsid w:val="00FF5E03"/>
    <w:rsid w:val="03A96047"/>
    <w:rsid w:val="079C5F2D"/>
    <w:rsid w:val="0898167A"/>
    <w:rsid w:val="08ED4366"/>
    <w:rsid w:val="143040B0"/>
    <w:rsid w:val="15A32FD0"/>
    <w:rsid w:val="15B11EF3"/>
    <w:rsid w:val="15DF7B3C"/>
    <w:rsid w:val="16895CFA"/>
    <w:rsid w:val="1881265A"/>
    <w:rsid w:val="1F58270D"/>
    <w:rsid w:val="25006DA5"/>
    <w:rsid w:val="25B73916"/>
    <w:rsid w:val="264033C6"/>
    <w:rsid w:val="2919115F"/>
    <w:rsid w:val="291D4CE1"/>
    <w:rsid w:val="29A22F02"/>
    <w:rsid w:val="2D727422"/>
    <w:rsid w:val="30122F2A"/>
    <w:rsid w:val="328060AF"/>
    <w:rsid w:val="36176A26"/>
    <w:rsid w:val="38A327F3"/>
    <w:rsid w:val="3A8E17EC"/>
    <w:rsid w:val="3ABC194A"/>
    <w:rsid w:val="42B82D4A"/>
    <w:rsid w:val="430640AA"/>
    <w:rsid w:val="46A41C10"/>
    <w:rsid w:val="4795626C"/>
    <w:rsid w:val="47A0687C"/>
    <w:rsid w:val="48EE1869"/>
    <w:rsid w:val="4A602F6E"/>
    <w:rsid w:val="4D0A7F54"/>
    <w:rsid w:val="4D897DB2"/>
    <w:rsid w:val="5187285A"/>
    <w:rsid w:val="56097CE2"/>
    <w:rsid w:val="564E7DEA"/>
    <w:rsid w:val="5689180B"/>
    <w:rsid w:val="56DE2031"/>
    <w:rsid w:val="57FD3157"/>
    <w:rsid w:val="5DF254FF"/>
    <w:rsid w:val="5F7E529D"/>
    <w:rsid w:val="658E1F37"/>
    <w:rsid w:val="66E75906"/>
    <w:rsid w:val="671C190C"/>
    <w:rsid w:val="67982DDE"/>
    <w:rsid w:val="6ED41203"/>
    <w:rsid w:val="702F613F"/>
    <w:rsid w:val="724070EF"/>
    <w:rsid w:val="72684DD1"/>
    <w:rsid w:val="727A15DA"/>
    <w:rsid w:val="736163E7"/>
    <w:rsid w:val="79183C14"/>
    <w:rsid w:val="7C7D684C"/>
    <w:rsid w:val="7E5514FF"/>
    <w:rsid w:val="7E941F8F"/>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Autospacing="1" w:afterAutospacing="1"/>
      <w:jc w:val="center"/>
      <w:outlineLvl w:val="0"/>
    </w:pPr>
    <w:rPr>
      <w:rFonts w:hint="eastAsia" w:ascii="宋体" w:hAnsi="宋体" w:eastAsia="方正小标宋简体" w:cs="Times New Roman"/>
      <w:kern w:val="44"/>
      <w:sz w:val="44"/>
      <w:szCs w:val="48"/>
    </w:rPr>
  </w:style>
  <w:style w:type="paragraph" w:styleId="3">
    <w:name w:val="heading 3"/>
    <w:basedOn w:val="1"/>
    <w:next w:val="1"/>
    <w:link w:val="42"/>
    <w:semiHidden/>
    <w:unhideWhenUsed/>
    <w:qFormat/>
    <w:uiPriority w:val="0"/>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5">
    <w:name w:val="annotation text"/>
    <w:basedOn w:val="1"/>
    <w:link w:val="44"/>
    <w:autoRedefine/>
    <w:qFormat/>
    <w:uiPriority w:val="0"/>
    <w:pPr>
      <w:jc w:val="left"/>
    </w:pPr>
    <w:rPr>
      <w:rFonts w:ascii="Times New Roman" w:hAnsi="Times New Roman" w:eastAsia="宋体" w:cs="Times New Roman"/>
      <w:szCs w:val="20"/>
    </w:rPr>
  </w:style>
  <w:style w:type="paragraph" w:styleId="6">
    <w:name w:val="Body Text"/>
    <w:basedOn w:val="1"/>
    <w:next w:val="1"/>
    <w:qFormat/>
    <w:uiPriority w:val="1"/>
    <w:rPr>
      <w:rFonts w:cs="仿宋_GB2312"/>
      <w:szCs w:val="32"/>
    </w:rPr>
  </w:style>
  <w:style w:type="paragraph" w:styleId="7">
    <w:name w:val="Body Text Indent"/>
    <w:basedOn w:val="1"/>
    <w:next w:val="8"/>
    <w:link w:val="45"/>
    <w:qFormat/>
    <w:uiPriority w:val="99"/>
    <w:pPr>
      <w:ind w:firstLine="645"/>
    </w:pPr>
    <w:rPr>
      <w:rFonts w:ascii="楷体_GB2312" w:hAnsi="Calibri" w:eastAsia="楷体_GB2312" w:cs="Times New Roman"/>
    </w:rPr>
  </w:style>
  <w:style w:type="paragraph" w:styleId="8">
    <w:name w:val="envelope return"/>
    <w:basedOn w:val="1"/>
    <w:qFormat/>
    <w:uiPriority w:val="0"/>
    <w:pPr>
      <w:widowControl/>
    </w:pPr>
    <w:rPr>
      <w:rFonts w:ascii="Arial" w:hAnsi="Arial" w:eastAsia="Arial"/>
      <w:sz w:val="20"/>
    </w:rPr>
  </w:style>
  <w:style w:type="paragraph" w:styleId="9">
    <w:name w:val="Plain Text"/>
    <w:basedOn w:val="1"/>
    <w:link w:val="37"/>
    <w:qFormat/>
    <w:uiPriority w:val="99"/>
    <w:rPr>
      <w:rFonts w:ascii="宋体" w:hAnsi="Courier New" w:eastAsiaTheme="minorEastAsia"/>
      <w:sz w:val="21"/>
      <w:szCs w:val="22"/>
    </w:rPr>
  </w:style>
  <w:style w:type="paragraph" w:styleId="10">
    <w:name w:val="Date"/>
    <w:basedOn w:val="1"/>
    <w:next w:val="1"/>
    <w:link w:val="41"/>
    <w:qFormat/>
    <w:uiPriority w:val="0"/>
    <w:rPr>
      <w:rFonts w:ascii="Arial" w:hAnsi="Arial" w:eastAsia="宋体" w:cs="Arial"/>
      <w:b/>
      <w:sz w:val="28"/>
      <w:szCs w:val="20"/>
    </w:rPr>
  </w:style>
  <w:style w:type="paragraph" w:styleId="11">
    <w:name w:val="footer"/>
    <w:basedOn w:val="1"/>
    <w:link w:val="34"/>
    <w:qFormat/>
    <w:uiPriority w:val="0"/>
    <w:pPr>
      <w:tabs>
        <w:tab w:val="center" w:pos="4153"/>
        <w:tab w:val="right" w:pos="8306"/>
      </w:tabs>
      <w:snapToGrid w:val="0"/>
      <w:jc w:val="left"/>
    </w:pPr>
    <w:rPr>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index 1"/>
    <w:basedOn w:val="1"/>
    <w:next w:val="1"/>
    <w:qFormat/>
    <w:uiPriority w:val="0"/>
    <w:pPr>
      <w:jc w:val="center"/>
    </w:pPr>
    <w:rPr>
      <w:rFonts w:ascii="Arial" w:hAnsi="Arial" w:eastAsia="Arial" w:cs="Arial"/>
      <w:b/>
      <w:bCs/>
      <w:sz w:val="28"/>
      <w:szCs w:val="20"/>
    </w:rPr>
  </w:style>
  <w:style w:type="paragraph" w:styleId="15">
    <w:name w:val="Body Text First Indent"/>
    <w:basedOn w:val="6"/>
    <w:qFormat/>
    <w:uiPriority w:val="99"/>
    <w:pPr>
      <w:ind w:firstLine="420" w:firstLineChars="100"/>
    </w:pPr>
  </w:style>
  <w:style w:type="paragraph" w:styleId="16">
    <w:name w:val="Body Text First Indent 2"/>
    <w:basedOn w:val="7"/>
    <w:qFormat/>
    <w:uiPriority w:val="0"/>
    <w:pPr>
      <w:tabs>
        <w:tab w:val="left" w:pos="0"/>
        <w:tab w:val="left" w:pos="993"/>
        <w:tab w:val="left" w:pos="1134"/>
      </w:tabs>
      <w:ind w:firstLine="420"/>
    </w:pPr>
    <w:rPr>
      <w:rFonts w:ascii="Calibri"/>
      <w:sz w:val="20"/>
      <w:szCs w:val="20"/>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页眉 字符"/>
    <w:basedOn w:val="19"/>
    <w:link w:val="12"/>
    <w:qFormat/>
    <w:uiPriority w:val="0"/>
    <w:rPr>
      <w:rFonts w:ascii="仿宋_GB2312" w:hAnsi="仿宋_GB2312" w:eastAsia="仿宋_GB2312" w:cstheme="minorBidi"/>
      <w:kern w:val="2"/>
      <w:sz w:val="18"/>
      <w:szCs w:val="18"/>
    </w:rPr>
  </w:style>
  <w:style w:type="character" w:customStyle="1" w:styleId="34">
    <w:name w:val="页脚 字符"/>
    <w:basedOn w:val="19"/>
    <w:link w:val="11"/>
    <w:qFormat/>
    <w:uiPriority w:val="0"/>
    <w:rPr>
      <w:rFonts w:ascii="仿宋_GB2312" w:hAnsi="仿宋_GB2312" w:eastAsia="仿宋_GB2312" w:cstheme="minorBidi"/>
      <w:kern w:val="2"/>
      <w:sz w:val="18"/>
      <w:szCs w:val="18"/>
    </w:rPr>
  </w:style>
  <w:style w:type="paragraph" w:customStyle="1" w:styleId="35">
    <w:name w:val="Table Paragraph"/>
    <w:basedOn w:val="1"/>
    <w:qFormat/>
    <w:uiPriority w:val="1"/>
    <w:pPr>
      <w:autoSpaceDE w:val="0"/>
      <w:autoSpaceDN w:val="0"/>
      <w:jc w:val="left"/>
    </w:pPr>
    <w:rPr>
      <w:rFonts w:ascii="宋体" w:hAnsi="宋体" w:eastAsia="宋体" w:cs="宋体"/>
      <w:kern w:val="0"/>
      <w:sz w:val="22"/>
      <w:szCs w:val="22"/>
    </w:rPr>
  </w:style>
  <w:style w:type="paragraph" w:styleId="36">
    <w:name w:val="List Paragraph"/>
    <w:basedOn w:val="1"/>
    <w:qFormat/>
    <w:uiPriority w:val="99"/>
    <w:pPr>
      <w:ind w:firstLine="420" w:firstLineChars="200"/>
    </w:pPr>
  </w:style>
  <w:style w:type="character" w:customStyle="1" w:styleId="37">
    <w:name w:val="纯文本 字符"/>
    <w:basedOn w:val="19"/>
    <w:link w:val="9"/>
    <w:qFormat/>
    <w:uiPriority w:val="99"/>
    <w:rPr>
      <w:rFonts w:ascii="宋体" w:hAnsi="Courier New" w:eastAsiaTheme="minorEastAsia" w:cstheme="minorBidi"/>
      <w:kern w:val="2"/>
      <w:sz w:val="21"/>
      <w:szCs w:val="22"/>
    </w:rPr>
  </w:style>
  <w:style w:type="character" w:customStyle="1" w:styleId="38">
    <w:name w:val="日期 字符"/>
    <w:basedOn w:val="19"/>
    <w:qFormat/>
    <w:uiPriority w:val="0"/>
    <w:rPr>
      <w:rFonts w:ascii="仿宋_GB2312" w:hAnsi="仿宋_GB2312" w:eastAsia="仿宋_GB2312" w:cstheme="minorBidi"/>
      <w:kern w:val="2"/>
      <w:sz w:val="32"/>
      <w:szCs w:val="24"/>
    </w:rPr>
  </w:style>
  <w:style w:type="paragraph" w:customStyle="1" w:styleId="39">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40">
    <w:name w:val="Char Char Char Char Char Char Char1 Char"/>
    <w:basedOn w:val="1"/>
    <w:qFormat/>
    <w:uiPriority w:val="0"/>
    <w:rPr>
      <w:rFonts w:ascii="Arial" w:hAnsi="Arial" w:eastAsia="宋体" w:cs="Arial"/>
      <w:sz w:val="24"/>
      <w:szCs w:val="20"/>
    </w:rPr>
  </w:style>
  <w:style w:type="character" w:customStyle="1" w:styleId="41">
    <w:name w:val="日期 字符1"/>
    <w:link w:val="10"/>
    <w:qFormat/>
    <w:uiPriority w:val="0"/>
    <w:rPr>
      <w:rFonts w:ascii="Arial" w:hAnsi="Arial" w:cs="Arial"/>
      <w:b/>
      <w:kern w:val="2"/>
      <w:sz w:val="28"/>
    </w:rPr>
  </w:style>
  <w:style w:type="character" w:customStyle="1" w:styleId="42">
    <w:name w:val="标题 3 字符"/>
    <w:basedOn w:val="19"/>
    <w:link w:val="3"/>
    <w:semiHidden/>
    <w:qFormat/>
    <w:uiPriority w:val="0"/>
    <w:rPr>
      <w:rFonts w:ascii="仿宋_GB2312" w:hAnsi="仿宋_GB2312" w:eastAsia="仿宋_GB2312" w:cstheme="minorBidi"/>
      <w:b/>
      <w:bCs/>
      <w:kern w:val="2"/>
      <w:sz w:val="32"/>
      <w:szCs w:val="32"/>
    </w:rPr>
  </w:style>
  <w:style w:type="paragraph" w:customStyle="1" w:styleId="43">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批注文字 字符"/>
    <w:basedOn w:val="19"/>
    <w:link w:val="5"/>
    <w:qFormat/>
    <w:uiPriority w:val="0"/>
    <w:rPr>
      <w:kern w:val="2"/>
      <w:sz w:val="32"/>
    </w:rPr>
  </w:style>
  <w:style w:type="character" w:customStyle="1" w:styleId="45">
    <w:name w:val="正文文本缩进 字符"/>
    <w:basedOn w:val="19"/>
    <w:link w:val="7"/>
    <w:autoRedefine/>
    <w:qFormat/>
    <w:uiPriority w:val="99"/>
    <w:rPr>
      <w:rFonts w:ascii="楷体_GB2312" w:hAnsi="Calibri" w:eastAsia="楷体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1535</Words>
  <Characters>1589</Characters>
  <Lines>14</Lines>
  <Paragraphs>4</Paragraphs>
  <TotalTime>19</TotalTime>
  <ScaleCrop>false</ScaleCrop>
  <LinksUpToDate>false</LinksUpToDate>
  <CharactersWithSpaces>1621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2025-03-27T02:23:00Z</dcterms:created>
  <dc:creator>Administrator</dc:creator>
  <cp:lastModifiedBy>小邹老师</cp:lastModifiedBy>
  <cp:lastPrinted>2023-03-30T01:15:00Z</cp:lastPrinted>
  <dcterms:modified xsi:type="dcterms:W3CDTF">2026-06-01T02:55:32Z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1847DC623E234456B2F6F9F1AEA868F5_13</vt:lpwstr>
  </property>
  <property fmtid="{D5CDD505-2E9C-101B-9397-08002B2CF9AE}" pid="4" name="KSOTemplateDocerSaveRecord">
    <vt:lpwstr>eyJoZGlkIjoiMWMzMmNkNmU3ZDMxMmUxOGY0M2E0MTNjOGFmZjczNzMiLCJ1c2VySWQiOiIzMjE5NzY3NjUifQ==</vt:lpwstr>
  </property>
</Properties>
</file>